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985"/>
        <w:gridCol w:w="1843"/>
        <w:gridCol w:w="1559"/>
      </w:tblGrid>
      <w:tr w:rsidR="00336FE2" w:rsidRPr="00BE1006" w:rsidTr="00A64899">
        <w:trPr>
          <w:trHeight w:val="1692"/>
        </w:trPr>
        <w:tc>
          <w:tcPr>
            <w:tcW w:w="1418" w:type="dxa"/>
          </w:tcPr>
          <w:p w:rsidR="00336FE2" w:rsidRPr="00BE1006" w:rsidRDefault="000C37B3" w:rsidP="00DB6DA8">
            <w:pPr>
              <w:rPr>
                <w:rFonts w:ascii="Calibri" w:hAnsi="Calibri"/>
                <w:b/>
              </w:rPr>
            </w:pPr>
            <w:r w:rsidRPr="00A64899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819150" cy="883920"/>
                  <wp:effectExtent l="1905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shd w:val="clear" w:color="auto" w:fill="943634" w:themeFill="accent2" w:themeFillShade="BF"/>
          </w:tcPr>
          <w:p w:rsidR="00336FE2" w:rsidRPr="001C16B8" w:rsidRDefault="00336FE2" w:rsidP="00DB6DA8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336FE2" w:rsidRPr="001471CA" w:rsidRDefault="0083209A" w:rsidP="00DB6DA8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Risk Assessment </w:t>
            </w:r>
            <w:r w:rsidR="00336FE2">
              <w:rPr>
                <w:rFonts w:ascii="Calibri" w:hAnsi="Calibri"/>
                <w:b/>
                <w:color w:val="FFFFFF"/>
                <w:sz w:val="44"/>
                <w:szCs w:val="44"/>
              </w:rPr>
              <w:t>Prompt Sheet</w:t>
            </w:r>
          </w:p>
        </w:tc>
        <w:tc>
          <w:tcPr>
            <w:tcW w:w="1559" w:type="dxa"/>
            <w:shd w:val="clear" w:color="auto" w:fill="auto"/>
          </w:tcPr>
          <w:p w:rsidR="00336FE2" w:rsidRPr="001C16B8" w:rsidRDefault="00336FE2" w:rsidP="00DB6DA8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 w:rsidRPr="00572321">
              <w:rPr>
                <w:rFonts w:ascii="Calibri" w:hAnsi="Calibri"/>
                <w:b/>
                <w:noProof/>
                <w:color w:val="FFFFFF"/>
              </w:rPr>
              <w:drawing>
                <wp:inline distT="0" distB="0" distL="0" distR="0">
                  <wp:extent cx="861060" cy="868680"/>
                  <wp:effectExtent l="19050" t="0" r="0" b="0"/>
                  <wp:docPr id="16" name="Picture 2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FE2" w:rsidRPr="00BE1006" w:rsidTr="00A64899">
        <w:tc>
          <w:tcPr>
            <w:tcW w:w="1418" w:type="dxa"/>
            <w:vAlign w:val="center"/>
          </w:tcPr>
          <w:p w:rsidR="00336FE2" w:rsidRPr="00140E20" w:rsidRDefault="00D0714F" w:rsidP="00DB6DA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PS:</w:t>
            </w:r>
            <w:r w:rsidR="00F723E3">
              <w:rPr>
                <w:b/>
              </w:rPr>
              <w:t>028:01</w:t>
            </w:r>
          </w:p>
        </w:tc>
        <w:tc>
          <w:tcPr>
            <w:tcW w:w="8222" w:type="dxa"/>
            <w:gridSpan w:val="4"/>
            <w:shd w:val="clear" w:color="auto" w:fill="943634" w:themeFill="accent2" w:themeFillShade="BF"/>
          </w:tcPr>
          <w:p w:rsidR="00336FE2" w:rsidRPr="001471CA" w:rsidRDefault="00336FE2" w:rsidP="00DB6DA8">
            <w:pPr>
              <w:spacing w:after="0" w:line="240" w:lineRule="auto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RE: Lone Working</w:t>
            </w:r>
          </w:p>
        </w:tc>
      </w:tr>
      <w:tr w:rsidR="00D0714F" w:rsidRPr="00B26179" w:rsidTr="006B4B70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418" w:type="dxa"/>
          </w:tcPr>
          <w:p w:rsidR="00D0714F" w:rsidRPr="00140E20" w:rsidRDefault="00D0714F" w:rsidP="00783671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D0714F" w:rsidRPr="00140E20" w:rsidRDefault="00D0714F" w:rsidP="00783671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>June 2018</w:t>
            </w:r>
          </w:p>
        </w:tc>
        <w:tc>
          <w:tcPr>
            <w:tcW w:w="1985" w:type="dxa"/>
          </w:tcPr>
          <w:p w:rsidR="00D0714F" w:rsidRPr="00140E20" w:rsidRDefault="00D0714F" w:rsidP="00783671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0256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3402" w:type="dxa"/>
            <w:gridSpan w:val="2"/>
          </w:tcPr>
          <w:p w:rsidR="00D0714F" w:rsidRPr="00D0714F" w:rsidRDefault="00D0714F" w:rsidP="00783671">
            <w:pPr>
              <w:spacing w:after="0" w:line="240" w:lineRule="auto"/>
            </w:pPr>
            <w:r>
              <w:t>June 2020</w:t>
            </w:r>
          </w:p>
        </w:tc>
      </w:tr>
      <w:tr w:rsidR="00336FE2" w:rsidRPr="00B26179" w:rsidTr="00765BB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418" w:type="dxa"/>
          </w:tcPr>
          <w:p w:rsidR="00336FE2" w:rsidRPr="00140E20" w:rsidRDefault="00336FE2" w:rsidP="00783671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</w:tcPr>
          <w:p w:rsidR="00336FE2" w:rsidRPr="00140E20" w:rsidRDefault="00336FE2" w:rsidP="00783671">
            <w:pPr>
              <w:spacing w:after="0" w:line="240" w:lineRule="auto"/>
              <w:ind w:righ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Health and Safety Function </w:t>
            </w:r>
          </w:p>
        </w:tc>
      </w:tr>
      <w:tr w:rsidR="007E2F59" w:rsidRPr="00B26179" w:rsidTr="00765BBE">
        <w:tblPrEx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1418" w:type="dxa"/>
            <w:vMerge w:val="restart"/>
          </w:tcPr>
          <w:p w:rsidR="0005170C" w:rsidRDefault="007E2F59" w:rsidP="007836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Note:</w:t>
            </w:r>
          </w:p>
          <w:p w:rsidR="0005170C" w:rsidRDefault="007E2F59" w:rsidP="00783671">
            <w:pPr>
              <w:spacing w:after="0" w:line="240" w:lineRule="auto"/>
              <w:rPr>
                <w:rFonts w:cs="Arial"/>
              </w:rPr>
            </w:pPr>
            <w:r>
              <w:rPr>
                <w:b/>
              </w:rPr>
              <w:t>Legislation</w:t>
            </w:r>
            <w:r w:rsidR="00256E5F">
              <w:rPr>
                <w:b/>
              </w:rPr>
              <w:t>:</w:t>
            </w:r>
          </w:p>
          <w:p w:rsidR="0005170C" w:rsidRDefault="0005170C" w:rsidP="00783671">
            <w:pPr>
              <w:spacing w:after="0" w:line="240" w:lineRule="auto"/>
              <w:rPr>
                <w:b/>
              </w:rPr>
            </w:pPr>
          </w:p>
          <w:p w:rsidR="00256E5F" w:rsidRDefault="00256E5F" w:rsidP="00783671">
            <w:pPr>
              <w:spacing w:after="0" w:line="240" w:lineRule="auto"/>
              <w:rPr>
                <w:b/>
              </w:rPr>
            </w:pPr>
          </w:p>
          <w:p w:rsidR="0005170C" w:rsidRDefault="007E2F59" w:rsidP="00783671">
            <w:pPr>
              <w:spacing w:after="0" w:line="240" w:lineRule="auto"/>
              <w:rPr>
                <w:rFonts w:cs="Arial"/>
                <w:b/>
                <w:bCs/>
              </w:rPr>
            </w:pPr>
            <w:r w:rsidRPr="007E12CF">
              <w:rPr>
                <w:b/>
              </w:rPr>
              <w:t>Definition</w:t>
            </w:r>
            <w:r w:rsidR="00256E5F">
              <w:rPr>
                <w:b/>
              </w:rPr>
              <w:t>:</w:t>
            </w: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7E2F59" w:rsidP="00783671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  <w:b/>
              </w:rPr>
              <w:t>Scope</w:t>
            </w:r>
            <w:r w:rsidR="00256E5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8222" w:type="dxa"/>
            <w:gridSpan w:val="4"/>
          </w:tcPr>
          <w:p w:rsidR="00256E5F" w:rsidRDefault="00256E5F" w:rsidP="00783671">
            <w:pPr>
              <w:spacing w:after="0" w:line="240" w:lineRule="auto"/>
            </w:pPr>
          </w:p>
          <w:p w:rsidR="0005170C" w:rsidRDefault="007E2F59" w:rsidP="00783671">
            <w:pPr>
              <w:spacing w:after="0" w:line="240" w:lineRule="auto"/>
            </w:pPr>
            <w:r w:rsidRPr="00AC0283">
              <w:t xml:space="preserve">Safety, Health and Welfare at Work (General Application) Regulations, 2007, Regulation 2(3) </w:t>
            </w:r>
          </w:p>
          <w:p w:rsidR="0005170C" w:rsidRDefault="0005170C" w:rsidP="00783671">
            <w:pPr>
              <w:spacing w:after="0" w:line="240" w:lineRule="auto"/>
              <w:rPr>
                <w:b/>
              </w:rPr>
            </w:pPr>
          </w:p>
        </w:tc>
      </w:tr>
      <w:tr w:rsidR="007E2F59" w:rsidRPr="00B26179" w:rsidTr="00A64899">
        <w:tblPrEx>
          <w:tblLook w:val="01E0" w:firstRow="1" w:lastRow="1" w:firstColumn="1" w:lastColumn="1" w:noHBand="0" w:noVBand="0"/>
        </w:tblPrEx>
        <w:trPr>
          <w:trHeight w:val="1795"/>
        </w:trPr>
        <w:tc>
          <w:tcPr>
            <w:tcW w:w="1418" w:type="dxa"/>
            <w:vMerge/>
          </w:tcPr>
          <w:p w:rsidR="0005170C" w:rsidRDefault="0005170C" w:rsidP="00783671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222" w:type="dxa"/>
            <w:gridSpan w:val="4"/>
          </w:tcPr>
          <w:p w:rsidR="0005170C" w:rsidRDefault="007E2F59" w:rsidP="00E26F97">
            <w:pPr>
              <w:spacing w:after="0" w:line="240" w:lineRule="auto"/>
              <w:rPr>
                <w:b/>
                <w:i/>
              </w:rPr>
            </w:pPr>
            <w:r w:rsidRPr="007C5FB8">
              <w:rPr>
                <w:b/>
                <w:i/>
              </w:rPr>
              <w:t>“</w:t>
            </w:r>
            <w:r w:rsidRPr="009A1861">
              <w:rPr>
                <w:i/>
              </w:rPr>
              <w:t>Lone workers are those employees who work by themselves without close or direct supervision.  Lone workers are employees who are physically isolated from colleagues and without access to immediate assistance”.</w:t>
            </w:r>
            <w:r w:rsidRPr="007C5FB8">
              <w:rPr>
                <w:b/>
                <w:i/>
              </w:rPr>
              <w:t xml:space="preserve">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Default="007E2F59" w:rsidP="00E26F97">
            <w:pPr>
              <w:spacing w:after="0" w:line="240" w:lineRule="auto"/>
            </w:pPr>
            <w:r>
              <w:t xml:space="preserve">Lone working refers to situations where employees in the course of their duties work alone: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Default="007E2F59" w:rsidP="00E26F9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 fixed workplaces e.g. Health centres, employees working out of hours in laboratory, x-ray department, reception areas, community group homes, maintenance departments etc.</w:t>
            </w:r>
          </w:p>
          <w:p w:rsidR="0005170C" w:rsidRDefault="007E2F59" w:rsidP="00E26F9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Workers working away from their base e.g. community based employees, ambulance personnel, employees working / attending meetings in a non HSE facility etc.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Pr="00A64899" w:rsidRDefault="009D593D" w:rsidP="00E26F97">
            <w:pPr>
              <w:spacing w:after="0" w:line="240" w:lineRule="auto"/>
              <w:rPr>
                <w:i/>
              </w:rPr>
            </w:pPr>
            <w:r w:rsidRPr="00A64899">
              <w:rPr>
                <w:i/>
              </w:rPr>
              <w:t xml:space="preserve">(Ref: Adapted from </w:t>
            </w:r>
            <w:hyperlink r:id="rId11" w:history="1">
              <w:r w:rsidRPr="00EA4932">
                <w:rPr>
                  <w:rStyle w:val="Hyperlink"/>
                  <w:i/>
                </w:rPr>
                <w:t>HSA Guidance on Lone Working in the Healthcare Sector, 2011</w:t>
              </w:r>
            </w:hyperlink>
            <w:r w:rsidRPr="00A64899">
              <w:rPr>
                <w:i/>
              </w:rPr>
              <w:t>)</w:t>
            </w:r>
          </w:p>
          <w:p w:rsidR="00436194" w:rsidRDefault="00EA4932" w:rsidP="00837B14">
            <w:pPr>
              <w:spacing w:after="0" w:line="240" w:lineRule="auto"/>
            </w:pPr>
            <w:r>
              <w:t>For further</w:t>
            </w:r>
            <w:r w:rsidR="007E2F59">
              <w:t xml:space="preserve"> information, please refer to the </w:t>
            </w:r>
            <w:hyperlink r:id="rId12" w:history="1">
              <w:r w:rsidR="007E2F59" w:rsidRPr="00765BBE">
                <w:rPr>
                  <w:rStyle w:val="Hyperlink"/>
                </w:rPr>
                <w:t>HSE Policy on Lone Working</w:t>
              </w:r>
            </w:hyperlink>
            <w:r w:rsidR="007E2F59">
              <w:t xml:space="preserve"> and </w:t>
            </w:r>
            <w:hyperlink r:id="rId13" w:history="1">
              <w:r w:rsidR="00837B14" w:rsidRPr="00837B14">
                <w:rPr>
                  <w:rStyle w:val="Hyperlink"/>
                </w:rPr>
                <w:t>Lone Working</w:t>
              </w:r>
            </w:hyperlink>
            <w:bookmarkStart w:id="0" w:name="_GoBack"/>
            <w:bookmarkEnd w:id="0"/>
            <w:r w:rsidR="00837B14">
              <w:t xml:space="preserve"> webpage</w:t>
            </w:r>
          </w:p>
        </w:tc>
      </w:tr>
      <w:tr w:rsidR="007E2F59" w:rsidRPr="00B26179" w:rsidTr="00A64899">
        <w:tblPrEx>
          <w:tblLook w:val="01E0" w:firstRow="1" w:lastRow="1" w:firstColumn="1" w:lastColumn="1" w:noHBand="0" w:noVBand="0"/>
        </w:tblPrEx>
        <w:trPr>
          <w:trHeight w:val="1345"/>
        </w:trPr>
        <w:tc>
          <w:tcPr>
            <w:tcW w:w="1418" w:type="dxa"/>
            <w:vMerge/>
          </w:tcPr>
          <w:p w:rsidR="0005170C" w:rsidRDefault="0005170C" w:rsidP="00783671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222" w:type="dxa"/>
            <w:gridSpan w:val="4"/>
          </w:tcPr>
          <w:p w:rsidR="0005170C" w:rsidRDefault="007E2F59" w:rsidP="00E26F97">
            <w:pPr>
              <w:spacing w:after="0" w:line="240" w:lineRule="auto"/>
            </w:pPr>
            <w:r w:rsidRPr="00AC0283">
              <w:rPr>
                <w:rFonts w:eastAsia="Times New Roman" w:cs="Times New Roman"/>
              </w:rPr>
              <w:t>T</w:t>
            </w:r>
            <w:r w:rsidRPr="00AC0283">
              <w:rPr>
                <w:rFonts w:eastAsiaTheme="minorHAnsi" w:cs="Helv"/>
                <w:color w:val="000000"/>
                <w:lang w:eastAsia="en-US"/>
              </w:rPr>
              <w:t xml:space="preserve">he following is a non-exhaustive list of prompts relevant to the hazard </w:t>
            </w:r>
            <w:r w:rsidRPr="00AC0283">
              <w:rPr>
                <w:rFonts w:eastAsia="Times New Roman" w:cs="Times New Roman"/>
              </w:rPr>
              <w:t xml:space="preserve">which </w:t>
            </w:r>
            <w:r w:rsidRPr="00AC0283">
              <w:t>should be used and considered when assessing and controlling the hazards associated with Lone Working</w:t>
            </w:r>
            <w:r>
              <w:t xml:space="preserve">.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Default="007E2F59" w:rsidP="00E26F97">
            <w:pPr>
              <w:spacing w:after="0" w:line="240" w:lineRule="auto"/>
            </w:pPr>
            <w:r>
              <w:t>All control measures must be documented on the appropriate risk assessment form.</w:t>
            </w:r>
          </w:p>
          <w:p w:rsidR="00CC03D8" w:rsidRDefault="00CC03D8" w:rsidP="00E26F97">
            <w:pPr>
              <w:spacing w:after="0" w:line="240" w:lineRule="auto"/>
            </w:pPr>
          </w:p>
          <w:p w:rsidR="00436194" w:rsidRPr="00D0714F" w:rsidRDefault="00436194" w:rsidP="00E26F97">
            <w:pPr>
              <w:spacing w:after="0" w:line="240" w:lineRule="auto"/>
            </w:pPr>
            <w:r w:rsidRPr="00D0714F">
              <w:t>For further gui</w:t>
            </w:r>
            <w:r w:rsidR="00E71240">
              <w:t>dance on undertaking workplace Occupational S</w:t>
            </w:r>
            <w:r w:rsidRPr="00D0714F">
              <w:t>afety</w:t>
            </w:r>
            <w:r w:rsidR="00E71240">
              <w:t xml:space="preserve"> Health (OSH) Risk A</w:t>
            </w:r>
            <w:r w:rsidRPr="00D0714F">
              <w:t xml:space="preserve">ssessments which are compliant with Section 19, of the Safety, Health and Welfare at Work Act, 2005 and associated legislation please refer to </w:t>
            </w:r>
            <w:hyperlink r:id="rId14" w:history="1">
              <w:r w:rsidR="00E76695" w:rsidRPr="00837B14">
                <w:rPr>
                  <w:rStyle w:val="Hyperlink"/>
                  <w:i/>
                </w:rPr>
                <w:t>Guideline</w:t>
              </w:r>
              <w:r w:rsidRPr="00837B14">
                <w:rPr>
                  <w:rStyle w:val="Hyperlink"/>
                  <w:i/>
                </w:rPr>
                <w:t xml:space="preserve"> RE: Completion of Occupational Sa</w:t>
              </w:r>
              <w:r w:rsidR="007857D7" w:rsidRPr="00837B14">
                <w:rPr>
                  <w:rStyle w:val="Hyperlink"/>
                  <w:i/>
                </w:rPr>
                <w:t>fety and Health Risk Assessments</w:t>
              </w:r>
            </w:hyperlink>
          </w:p>
        </w:tc>
      </w:tr>
    </w:tbl>
    <w:p w:rsidR="00256E5F" w:rsidRPr="00F07507" w:rsidRDefault="00256E5F">
      <w:pPr>
        <w:rPr>
          <w:rFonts w:cstheme="minorHAnsi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7230"/>
        <w:gridCol w:w="566"/>
        <w:gridCol w:w="567"/>
        <w:gridCol w:w="709"/>
      </w:tblGrid>
      <w:tr w:rsidR="00336FE2" w:rsidRPr="00F07507" w:rsidTr="00A64899">
        <w:tc>
          <w:tcPr>
            <w:tcW w:w="568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 xml:space="preserve">Hazard controls to be considered when carrying out your risk assessment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N/A</w:t>
            </w:r>
          </w:p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336FE2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336FE2" w:rsidRPr="00F07507" w:rsidRDefault="00336FE2" w:rsidP="00336FE2">
            <w:pPr>
              <w:rPr>
                <w:rFonts w:cstheme="minorHAnsi"/>
                <w:color w:val="FF0000"/>
              </w:rPr>
            </w:pPr>
            <w:r w:rsidRPr="00F07507">
              <w:rPr>
                <w:rFonts w:cstheme="minorHAnsi"/>
              </w:rPr>
              <w:t>Have all lone workers been identified?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336FE2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>Aggression &amp; Violence; Contact with difficult clients;  Hostile environment; Inappropriate behaviour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3E781E">
        <w:trPr>
          <w:trHeight w:val="621"/>
        </w:trPr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336FE2" w:rsidRPr="00F07507" w:rsidRDefault="009D593D" w:rsidP="00256E5F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Are clear procedures in place to set limits on what can and cannot be done whilst working alone and are staff aware when to stop and seek advice?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6B4B70" w:rsidRDefault="006B4B70">
      <w:r>
        <w:br w:type="page"/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7230"/>
        <w:gridCol w:w="566"/>
        <w:gridCol w:w="567"/>
        <w:gridCol w:w="709"/>
      </w:tblGrid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230" w:type="dxa"/>
          </w:tcPr>
          <w:p w:rsidR="00336FE2" w:rsidRPr="00F07507" w:rsidRDefault="009D593D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lone workers received sufficient information, training and instruction in performing their duties?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4E3F86" w:rsidP="00336F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336FE2" w:rsidRPr="00F07507" w:rsidRDefault="009D593D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Are the following personal details of lone workers held on file: name, address, mobile number, car registration, make and model and next of kin details?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Where </w:t>
            </w:r>
            <w:r w:rsidR="0083209A" w:rsidRPr="00F07507">
              <w:rPr>
                <w:rFonts w:cstheme="minorHAnsi"/>
              </w:rPr>
              <w:t>necessary</w:t>
            </w:r>
            <w:r w:rsidRPr="00F07507">
              <w:rPr>
                <w:rFonts w:cstheme="minorHAnsi"/>
              </w:rPr>
              <w:t xml:space="preserve">, are lone workers provided with a client history including any relevant background information from colleagues or other professional bodies e.g. </w:t>
            </w:r>
            <w:r w:rsidR="000D481A" w:rsidRPr="00F07507">
              <w:rPr>
                <w:rFonts w:cstheme="minorHAnsi"/>
              </w:rPr>
              <w:t xml:space="preserve">referring agency, GP, </w:t>
            </w:r>
            <w:r w:rsidRPr="00F07507">
              <w:rPr>
                <w:rFonts w:cstheme="minorHAnsi"/>
              </w:rPr>
              <w:t xml:space="preserve">An Garda </w:t>
            </w:r>
            <w:proofErr w:type="spellStart"/>
            <w:r w:rsidRPr="00F07507">
              <w:rPr>
                <w:rFonts w:cstheme="minorHAnsi"/>
              </w:rPr>
              <w:t>Siochana</w:t>
            </w:r>
            <w:proofErr w:type="spellEnd"/>
            <w:r w:rsidRPr="00F07507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Does contact with service users initially commence with a referral through an authorised source?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Where self-referrals are made from a client that is not known to the service, is a specific risk assessment carried out</w:t>
            </w:r>
            <w:r w:rsidR="00C8393D" w:rsidRPr="00F07507">
              <w:rPr>
                <w:rFonts w:cstheme="minorHAnsi"/>
              </w:rPr>
              <w:t xml:space="preserve"> </w:t>
            </w:r>
            <w:r w:rsidRPr="00F07507">
              <w:rPr>
                <w:rFonts w:cstheme="minorHAnsi"/>
              </w:rPr>
              <w:t>and</w:t>
            </w:r>
            <w:r w:rsidR="007E2F59" w:rsidRPr="00F07507">
              <w:rPr>
                <w:rFonts w:cstheme="minorHAnsi"/>
              </w:rPr>
              <w:t>,</w:t>
            </w:r>
            <w:r w:rsidRPr="00F07507">
              <w:rPr>
                <w:rFonts w:cstheme="minorHAnsi"/>
              </w:rPr>
              <w:t xml:space="preserve"> </w:t>
            </w:r>
            <w:r w:rsidR="00D7237E" w:rsidRPr="00F07507">
              <w:rPr>
                <w:rFonts w:cstheme="minorHAnsi"/>
              </w:rPr>
              <w:t>where possible</w:t>
            </w:r>
            <w:r w:rsidR="007E1F9D" w:rsidRPr="00F07507">
              <w:rPr>
                <w:rFonts w:cstheme="minorHAnsi"/>
              </w:rPr>
              <w:t>, do</w:t>
            </w:r>
            <w:r w:rsidRPr="00F07507">
              <w:rPr>
                <w:rFonts w:cstheme="minorHAnsi"/>
              </w:rPr>
              <w:t xml:space="preserve"> two staff members attend the initial visit?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Where there are known risks associated with a particular location or service user, is a risk assessment conducted to identify whether a home visit is appropriate or whether an alternative location is warranted?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Is </w:t>
            </w:r>
            <w:r w:rsidR="009D593D" w:rsidRPr="00F07507">
              <w:rPr>
                <w:rFonts w:cstheme="minorHAnsi"/>
              </w:rPr>
              <w:t>there a central point of contact for staff to leave details of their lone working activities?</w:t>
            </w:r>
            <w:r w:rsidR="00C8393D" w:rsidRPr="00F07507">
              <w:rPr>
                <w:rFonts w:cstheme="minorHAnsi"/>
              </w:rPr>
              <w:t xml:space="preserve"> </w:t>
            </w:r>
            <w:r w:rsidR="009D593D" w:rsidRPr="00F07507">
              <w:rPr>
                <w:rFonts w:cstheme="minorHAnsi"/>
              </w:rPr>
              <w:t>e.g.</w:t>
            </w:r>
          </w:p>
          <w:p w:rsidR="00336FE2" w:rsidRPr="00F07507" w:rsidRDefault="009D593D" w:rsidP="007836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eastAsiaTheme="minorHAnsi" w:cstheme="minorHAnsi"/>
                <w:lang w:eastAsia="en-US"/>
              </w:rPr>
            </w:pPr>
            <w:r w:rsidRPr="00F07507">
              <w:rPr>
                <w:rFonts w:eastAsiaTheme="minorHAnsi" w:cstheme="minorHAnsi"/>
                <w:lang w:eastAsia="en-US"/>
              </w:rPr>
              <w:t>Office base</w:t>
            </w:r>
            <w:r w:rsidR="00336FE2" w:rsidRPr="00F07507">
              <w:rPr>
                <w:rFonts w:eastAsiaTheme="minorHAnsi" w:cstheme="minorHAnsi"/>
                <w:lang w:eastAsia="en-US"/>
              </w:rPr>
              <w:t xml:space="preserve"> – manned at all times when employees are lone working</w:t>
            </w:r>
          </w:p>
          <w:p w:rsidR="00336FE2" w:rsidRPr="00F07507" w:rsidRDefault="00336FE2" w:rsidP="007836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eastAsiaTheme="minorHAnsi" w:cstheme="minorHAnsi"/>
                <w:lang w:eastAsia="en-US"/>
              </w:rPr>
            </w:pPr>
            <w:r w:rsidRPr="00F07507">
              <w:rPr>
                <w:rFonts w:eastAsiaTheme="minorHAnsi" w:cstheme="minorHAnsi"/>
                <w:bCs/>
                <w:iCs/>
                <w:lang w:eastAsia="en-US"/>
              </w:rPr>
              <w:t>An answer phone that is monitored at agreed intervals</w:t>
            </w:r>
          </w:p>
          <w:p w:rsidR="00336FE2" w:rsidRPr="00F07507" w:rsidRDefault="00336FE2" w:rsidP="007836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eastAsiaTheme="minorHAnsi" w:cstheme="minorHAnsi"/>
                <w:lang w:eastAsia="en-US"/>
              </w:rPr>
            </w:pPr>
            <w:r w:rsidRPr="00F07507">
              <w:rPr>
                <w:rFonts w:eastAsiaTheme="minorHAnsi" w:cstheme="minorHAnsi"/>
                <w:bCs/>
                <w:iCs/>
                <w:lang w:eastAsia="en-US"/>
              </w:rPr>
              <w:t>Nominated person with a mobile phone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Does the central point of contact have access to the lone workers personal </w:t>
            </w:r>
            <w:r w:rsidR="009D593D" w:rsidRPr="00F07507">
              <w:rPr>
                <w:rFonts w:cstheme="minorHAnsi"/>
              </w:rPr>
              <w:t>details and is there an agreed escalation procedure in place that is initiated in the event of the lone</w:t>
            </w:r>
            <w:r w:rsidRPr="00F07507">
              <w:rPr>
                <w:rFonts w:cstheme="minorHAnsi"/>
              </w:rPr>
              <w:t xml:space="preserve"> worker failing to make contact?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7E1F9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>Transport to include: Driving; Travelling by Foot: Travelling by Public Transport; Travelling by Taxi; Escorting Clients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5F616D" w:rsidRPr="00F07507" w:rsidRDefault="005F616D" w:rsidP="007E1F9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Are </w:t>
            </w:r>
            <w:r w:rsidR="007F0242" w:rsidRPr="00F07507">
              <w:rPr>
                <w:rFonts w:cstheme="minorHAnsi"/>
              </w:rPr>
              <w:t>s</w:t>
            </w:r>
            <w:r w:rsidRPr="00F07507">
              <w:rPr>
                <w:rFonts w:cstheme="minorHAnsi"/>
              </w:rPr>
              <w:t>afe systems (safety procedures) documented for staff travelling by the identified modes of transport?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Occupational Blood Exposures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Are procedures in place for the management and reporting of accidental exposure to blood and bodily fluids and are employees trained in these procedures (to include 24/7 care where applicable)?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Manual Handling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BF4C55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written moving</w:t>
            </w:r>
            <w:r w:rsidR="00BF4C55" w:rsidRPr="00F07507">
              <w:rPr>
                <w:rFonts w:cstheme="minorHAnsi"/>
              </w:rPr>
              <w:t xml:space="preserve"> and handling risk assessments </w:t>
            </w:r>
            <w:r w:rsidRPr="00F07507">
              <w:rPr>
                <w:rFonts w:cstheme="minorHAnsi"/>
              </w:rPr>
              <w:t>been carried out and are safe systems documented for the lone worker?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Chemical Agents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chemical agents risk assessments been complet</w:t>
            </w:r>
            <w:r w:rsidR="00BF4C55" w:rsidRPr="00F07507">
              <w:rPr>
                <w:rFonts w:cstheme="minorHAnsi"/>
              </w:rPr>
              <w:t>e</w:t>
            </w:r>
            <w:r w:rsidR="0083209A" w:rsidRPr="00F07507">
              <w:rPr>
                <w:rFonts w:cstheme="minorHAnsi"/>
              </w:rPr>
              <w:t>d</w:t>
            </w:r>
            <w:r w:rsidRPr="00F07507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Psychosocial (Stress / Isolation)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5F616D" w:rsidRPr="00F07507" w:rsidRDefault="009D593D" w:rsidP="004A016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Is there regular contact and supervision between the line manager and lone worker which forms a key part in ensuring the safety of the lone worker?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5F616D" w:rsidRPr="00F07507" w:rsidRDefault="009D593D" w:rsidP="004A0161">
            <w:pPr>
              <w:rPr>
                <w:rFonts w:cstheme="minorHAnsi"/>
              </w:rPr>
            </w:pPr>
            <w:proofErr w:type="gramStart"/>
            <w:r w:rsidRPr="00F07507">
              <w:rPr>
                <w:rFonts w:cstheme="minorHAnsi"/>
              </w:rPr>
              <w:t>Are staff</w:t>
            </w:r>
            <w:proofErr w:type="gramEnd"/>
            <w:r w:rsidRPr="00F07507">
              <w:rPr>
                <w:rFonts w:cstheme="minorHAnsi"/>
              </w:rPr>
              <w:t xml:space="preserve"> aware of the HSE supports available?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Training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lone workers received training in the following</w:t>
            </w:r>
            <w:r w:rsidR="0083209A" w:rsidRPr="00F07507">
              <w:rPr>
                <w:rFonts w:cstheme="minorHAnsi"/>
              </w:rPr>
              <w:t xml:space="preserve"> (as appropriate</w:t>
            </w:r>
            <w:r w:rsidR="005A34E4" w:rsidRPr="00F07507">
              <w:rPr>
                <w:rFonts w:cstheme="minorHAnsi"/>
              </w:rPr>
              <w:t xml:space="preserve"> according to T</w:t>
            </w:r>
            <w:r w:rsidR="0004187A" w:rsidRPr="00F07507">
              <w:rPr>
                <w:rFonts w:cstheme="minorHAnsi"/>
              </w:rPr>
              <w:t xml:space="preserve">raining </w:t>
            </w:r>
            <w:r w:rsidR="005A34E4" w:rsidRPr="00F07507">
              <w:rPr>
                <w:rFonts w:cstheme="minorHAnsi"/>
              </w:rPr>
              <w:t>N</w:t>
            </w:r>
            <w:r w:rsidR="0004187A" w:rsidRPr="00F07507">
              <w:rPr>
                <w:rFonts w:cstheme="minorHAnsi"/>
              </w:rPr>
              <w:t xml:space="preserve">eeds </w:t>
            </w:r>
            <w:r w:rsidR="005A34E4" w:rsidRPr="00F07507">
              <w:rPr>
                <w:rFonts w:cstheme="minorHAnsi"/>
              </w:rPr>
              <w:t>A</w:t>
            </w:r>
            <w:r w:rsidR="0004187A" w:rsidRPr="00F07507">
              <w:rPr>
                <w:rFonts w:cstheme="minorHAnsi"/>
              </w:rPr>
              <w:t>ssessment (TNA)</w:t>
            </w:r>
            <w:r w:rsidR="0083209A" w:rsidRPr="00F07507">
              <w:rPr>
                <w:rFonts w:cstheme="minorHAnsi"/>
              </w:rPr>
              <w:t>)</w:t>
            </w:r>
            <w:r w:rsidRPr="00F07507">
              <w:rPr>
                <w:rFonts w:cstheme="minorHAnsi"/>
              </w:rPr>
              <w:t>?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Personal safety 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Management of work-related aggression and violence training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First aid procedures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Emergency procedures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Training in the use of lone worker technology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4E3F86" w:rsidRDefault="004E3F86">
      <w:r>
        <w:br w:type="page"/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7230"/>
        <w:gridCol w:w="566"/>
        <w:gridCol w:w="567"/>
        <w:gridCol w:w="709"/>
      </w:tblGrid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lastRenderedPageBreak/>
              <w:t xml:space="preserve">Use of Lone Worker Technology / Devices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1</w:t>
            </w:r>
            <w:r w:rsidR="00E50EA9" w:rsidRPr="002309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5F616D" w:rsidRDefault="005F616D" w:rsidP="00783671">
            <w:r>
              <w:t xml:space="preserve">Where hazards have been identified above, </w:t>
            </w:r>
            <w:r w:rsidR="0083209A">
              <w:t>ha</w:t>
            </w:r>
            <w:r w:rsidR="007E1F9D">
              <w:t>ve</w:t>
            </w:r>
            <w:r>
              <w:t xml:space="preserve"> lone worker technology / devices </w:t>
            </w:r>
            <w:r w:rsidR="0083209A">
              <w:t>been provided</w:t>
            </w:r>
            <w:r w:rsidR="00F07507">
              <w:t>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E50EA9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30" w:type="dxa"/>
          </w:tcPr>
          <w:p w:rsidR="005F616D" w:rsidRDefault="005F616D" w:rsidP="00783671">
            <w:r>
              <w:t>Are ther</w:t>
            </w:r>
            <w:r w:rsidR="00E50EA9">
              <w:t>e clear and robust protocols</w:t>
            </w:r>
            <w:r>
              <w:t xml:space="preserve"> in place in the event of activation?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E50EA9" w:rsidRPr="002309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30" w:type="dxa"/>
          </w:tcPr>
          <w:p w:rsidR="005F616D" w:rsidRDefault="007F0242" w:rsidP="00783671">
            <w:r>
              <w:t>Is</w:t>
            </w:r>
            <w:r w:rsidR="005F616D">
              <w:t xml:space="preserve"> lone</w:t>
            </w:r>
            <w:r w:rsidR="00E50EA9">
              <w:t xml:space="preserve"> worker technology </w:t>
            </w:r>
            <w:r w:rsidR="005F616D">
              <w:t xml:space="preserve">tested periodically and </w:t>
            </w:r>
            <w:r w:rsidR="00313144">
              <w:t xml:space="preserve">records of testing retained? 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13144" w:rsidRPr="0052112F" w:rsidTr="00A64899">
        <w:tc>
          <w:tcPr>
            <w:tcW w:w="568" w:type="dxa"/>
          </w:tcPr>
          <w:p w:rsidR="00313144" w:rsidRPr="00230982" w:rsidRDefault="00313144" w:rsidP="00783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30" w:type="dxa"/>
          </w:tcPr>
          <w:p w:rsidR="00313144" w:rsidRDefault="00313144" w:rsidP="00783671">
            <w:r>
              <w:t>Is lone worker technology maintained in accordance with Manufacturers’ instruction and maintenance records maintained?</w:t>
            </w:r>
          </w:p>
        </w:tc>
        <w:tc>
          <w:tcPr>
            <w:tcW w:w="566" w:type="dxa"/>
          </w:tcPr>
          <w:p w:rsidR="00313144" w:rsidRPr="0052112F" w:rsidRDefault="00313144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144" w:rsidRPr="0052112F" w:rsidRDefault="00313144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144" w:rsidRPr="0052112F" w:rsidRDefault="00313144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t xml:space="preserve">Occupational Health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E50EA9" w:rsidRDefault="005F616D" w:rsidP="00783671">
            <w:r>
              <w:t>Are systems in place for lone workers to access Occupational Health if required?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t>Supervision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5F616D" w:rsidRDefault="005F616D" w:rsidP="00783671">
            <w:r>
              <w:t>Is there regular contact and supervision between the Line Manager and Lone Worker which forms a key part</w:t>
            </w:r>
            <w:r w:rsidR="009F0701">
              <w:t xml:space="preserve"> in ensuring the safety of the lone w</w:t>
            </w:r>
            <w:r>
              <w:t>orker</w:t>
            </w:r>
            <w:r w:rsidR="009F0701">
              <w:t>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t xml:space="preserve">Emergency Procedures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5F616D" w:rsidRDefault="005F616D" w:rsidP="00783671">
            <w:r>
              <w:t>Are procedures in place for all foreseeable emergencies e.g. sudden illness?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Default="00C8393D" w:rsidP="00783671">
            <w:r w:rsidRPr="00B440FA">
              <w:rPr>
                <w:b/>
              </w:rPr>
              <w:t>Accidents/Incidents and near misses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5F616D" w:rsidRDefault="005F616D" w:rsidP="00783671">
            <w:pPr>
              <w:rPr>
                <w:lang w:eastAsia="en-US"/>
              </w:rPr>
            </w:pPr>
            <w:r w:rsidRPr="004012C8">
              <w:t>Are all incidents/accidents/near misses recorded and investigated and remedial measures implemented?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921627" w:rsidRDefault="00C8393D" w:rsidP="00783671">
            <w:pPr>
              <w:rPr>
                <w:b/>
              </w:rPr>
            </w:pPr>
            <w:r w:rsidRPr="00921627">
              <w:rPr>
                <w:b/>
              </w:rPr>
              <w:t>Risk Assessments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5F616D" w:rsidRDefault="005F616D" w:rsidP="00783671">
            <w:pPr>
              <w:rPr>
                <w:lang w:eastAsia="en-US"/>
              </w:rPr>
            </w:pPr>
            <w:r>
              <w:t xml:space="preserve">Are the results of the risk assessment communicated to all relevant employees and all who come in contact with </w:t>
            </w:r>
            <w:r w:rsidR="0083209A">
              <w:t>HSE</w:t>
            </w:r>
            <w:r>
              <w:t xml:space="preserve"> services and activities? 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5F616D" w:rsidRDefault="005F616D" w:rsidP="00783671">
            <w:r>
              <w:t xml:space="preserve">Are risk assessments reviewed at least annually or more frequently if </w:t>
            </w:r>
            <w:r w:rsidR="0083209A">
              <w:t xml:space="preserve">necessary, i.e. </w:t>
            </w:r>
            <w:r>
              <w:t xml:space="preserve">accident/incident </w:t>
            </w:r>
            <w:r w:rsidR="0083209A">
              <w:t>or a change in</w:t>
            </w:r>
            <w:r>
              <w:t xml:space="preserve"> circumstances to which they relate?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36FE2" w:rsidRDefault="00336FE2" w:rsidP="00783671">
      <w:pPr>
        <w:spacing w:after="0" w:line="240" w:lineRule="auto"/>
      </w:pPr>
    </w:p>
    <w:sectPr w:rsidR="00336FE2" w:rsidSect="003E781E">
      <w:headerReference w:type="default" r:id="rId15"/>
      <w:footerReference w:type="default" r:id="rId16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45" w:rsidRDefault="00931845" w:rsidP="00D40E53">
      <w:pPr>
        <w:spacing w:after="0" w:line="240" w:lineRule="auto"/>
      </w:pPr>
      <w:r>
        <w:separator/>
      </w:r>
    </w:p>
  </w:endnote>
  <w:endnote w:type="continuationSeparator" w:id="0">
    <w:p w:rsidR="00931845" w:rsidRDefault="00931845" w:rsidP="00D4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A8" w:rsidRPr="00E26F97" w:rsidRDefault="00E26F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20 06 30 </w:t>
    </w:r>
    <w:r w:rsidR="00F723E3" w:rsidRPr="00E26F97">
      <w:rPr>
        <w:rFonts w:asciiTheme="majorHAnsi" w:eastAsiaTheme="majorEastAsia" w:hAnsiTheme="majorHAnsi" w:cstheme="majorBidi"/>
        <w:sz w:val="18"/>
      </w:rPr>
      <w:t xml:space="preserve">PS: 028:01 </w:t>
    </w:r>
    <w:r w:rsidR="00DB6DA8" w:rsidRPr="00E26F97">
      <w:rPr>
        <w:rFonts w:asciiTheme="majorHAnsi" w:eastAsiaTheme="majorEastAsia" w:hAnsiTheme="majorHAnsi" w:cstheme="majorBidi"/>
        <w:sz w:val="18"/>
      </w:rPr>
      <w:t xml:space="preserve">Lone Working </w:t>
    </w:r>
    <w:r w:rsidR="00DB6DA8" w:rsidRPr="00E26F97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DB6DA8" w:rsidRPr="00E26F97">
      <w:rPr>
        <w:rFonts w:asciiTheme="majorHAnsi" w:eastAsiaTheme="majorEastAsia" w:hAnsiTheme="majorHAnsi" w:cstheme="majorBidi"/>
        <w:sz w:val="18"/>
      </w:rPr>
      <w:t xml:space="preserve">Page </w:t>
    </w:r>
    <w:r w:rsidR="00DB767B" w:rsidRPr="00E26F97">
      <w:rPr>
        <w:sz w:val="18"/>
      </w:rPr>
      <w:fldChar w:fldCharType="begin"/>
    </w:r>
    <w:r w:rsidR="00DB6DA8" w:rsidRPr="00E26F97">
      <w:rPr>
        <w:sz w:val="18"/>
      </w:rPr>
      <w:instrText xml:space="preserve"> PAGE   \* MERGEFORMAT </w:instrText>
    </w:r>
    <w:r w:rsidR="00DB767B" w:rsidRPr="00E26F97">
      <w:rPr>
        <w:sz w:val="18"/>
      </w:rPr>
      <w:fldChar w:fldCharType="separate"/>
    </w:r>
    <w:r w:rsidR="00837B14" w:rsidRPr="00837B14">
      <w:rPr>
        <w:rFonts w:asciiTheme="majorHAnsi" w:eastAsiaTheme="majorEastAsia" w:hAnsiTheme="majorHAnsi" w:cstheme="majorBidi"/>
        <w:noProof/>
        <w:sz w:val="18"/>
      </w:rPr>
      <w:t>1</w:t>
    </w:r>
    <w:r w:rsidR="00DB767B" w:rsidRPr="00E26F97">
      <w:rPr>
        <w:rFonts w:asciiTheme="majorHAnsi" w:eastAsiaTheme="majorEastAsia" w:hAnsiTheme="majorHAnsi" w:cstheme="majorBidi"/>
        <w:noProof/>
        <w:sz w:val="18"/>
      </w:rPr>
      <w:fldChar w:fldCharType="end"/>
    </w:r>
  </w:p>
  <w:p w:rsidR="00DB6DA8" w:rsidRDefault="00DB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45" w:rsidRDefault="00931845" w:rsidP="00D40E53">
      <w:pPr>
        <w:spacing w:after="0" w:line="240" w:lineRule="auto"/>
      </w:pPr>
      <w:r>
        <w:separator/>
      </w:r>
    </w:p>
  </w:footnote>
  <w:footnote w:type="continuationSeparator" w:id="0">
    <w:p w:rsidR="00931845" w:rsidRDefault="00931845" w:rsidP="00D4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E" w:rsidRPr="003E781E" w:rsidRDefault="003E781E" w:rsidP="003E781E">
    <w:pPr>
      <w:jc w:val="center"/>
      <w:rPr>
        <w:rFonts w:ascii="Calibri" w:hAnsi="Calibri" w:cs="Calibri"/>
        <w:b/>
        <w:bCs/>
        <w:i/>
        <w:color w:val="C0504D"/>
        <w:sz w:val="18"/>
        <w:szCs w:val="20"/>
      </w:rPr>
    </w:pPr>
    <w:r w:rsidRPr="003E781E">
      <w:rPr>
        <w:rFonts w:ascii="Calibri" w:hAnsi="Calibri" w:cs="Calibri"/>
        <w:b/>
        <w:noProof/>
        <w:color w:val="984806"/>
        <w:sz w:val="18"/>
        <w:szCs w:val="20"/>
      </w:rPr>
      <w:drawing>
        <wp:inline distT="0" distB="0" distL="0" distR="0">
          <wp:extent cx="619760" cy="665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 National Health and Safety Function, Workplace Health and Wellbeing Unit, </w:t>
    </w:r>
    <w:r w:rsidRPr="003E781E">
      <w:rPr>
        <w:rFonts w:ascii="Calibri" w:hAnsi="Calibri" w:cs="Calibri"/>
        <w:b/>
        <w:sz w:val="18"/>
        <w:szCs w:val="20"/>
      </w:rPr>
      <w:t>National HR Division</w:t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EE9"/>
    <w:multiLevelType w:val="hybridMultilevel"/>
    <w:tmpl w:val="2A5C700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25E56"/>
    <w:multiLevelType w:val="hybridMultilevel"/>
    <w:tmpl w:val="86E8D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B1D35"/>
    <w:multiLevelType w:val="hybridMultilevel"/>
    <w:tmpl w:val="7AE041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94D3D"/>
    <w:multiLevelType w:val="hybridMultilevel"/>
    <w:tmpl w:val="A65A5A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927FA5"/>
    <w:multiLevelType w:val="hybridMultilevel"/>
    <w:tmpl w:val="77EAE6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3B750E"/>
    <w:multiLevelType w:val="hybridMultilevel"/>
    <w:tmpl w:val="F9606C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FE2"/>
    <w:rsid w:val="0004187A"/>
    <w:rsid w:val="000431B9"/>
    <w:rsid w:val="0005170C"/>
    <w:rsid w:val="000C37B3"/>
    <w:rsid w:val="000D481A"/>
    <w:rsid w:val="000D7B85"/>
    <w:rsid w:val="001246F1"/>
    <w:rsid w:val="001E1554"/>
    <w:rsid w:val="00230982"/>
    <w:rsid w:val="00256E5F"/>
    <w:rsid w:val="00271962"/>
    <w:rsid w:val="002B2912"/>
    <w:rsid w:val="00313144"/>
    <w:rsid w:val="00336FE2"/>
    <w:rsid w:val="003C2003"/>
    <w:rsid w:val="003E781E"/>
    <w:rsid w:val="003F3D2A"/>
    <w:rsid w:val="004057B6"/>
    <w:rsid w:val="004160D4"/>
    <w:rsid w:val="00436194"/>
    <w:rsid w:val="00452CDF"/>
    <w:rsid w:val="00476EDD"/>
    <w:rsid w:val="004A0161"/>
    <w:rsid w:val="004E3F86"/>
    <w:rsid w:val="005215C4"/>
    <w:rsid w:val="00531C65"/>
    <w:rsid w:val="0058545B"/>
    <w:rsid w:val="005A34E4"/>
    <w:rsid w:val="005C11CB"/>
    <w:rsid w:val="005F616D"/>
    <w:rsid w:val="006328F3"/>
    <w:rsid w:val="00665DCE"/>
    <w:rsid w:val="006B4B70"/>
    <w:rsid w:val="007044F7"/>
    <w:rsid w:val="00720AC5"/>
    <w:rsid w:val="00733E67"/>
    <w:rsid w:val="00743B7E"/>
    <w:rsid w:val="00765BBE"/>
    <w:rsid w:val="00775957"/>
    <w:rsid w:val="00783671"/>
    <w:rsid w:val="007857D7"/>
    <w:rsid w:val="007C5FB8"/>
    <w:rsid w:val="007E12CF"/>
    <w:rsid w:val="007E1F9D"/>
    <w:rsid w:val="007E2430"/>
    <w:rsid w:val="007E2F59"/>
    <w:rsid w:val="007F0242"/>
    <w:rsid w:val="008011D7"/>
    <w:rsid w:val="00821DAB"/>
    <w:rsid w:val="0083209A"/>
    <w:rsid w:val="00833308"/>
    <w:rsid w:val="00837B14"/>
    <w:rsid w:val="00847A97"/>
    <w:rsid w:val="0089336C"/>
    <w:rsid w:val="008E793C"/>
    <w:rsid w:val="008F0C8C"/>
    <w:rsid w:val="00911355"/>
    <w:rsid w:val="00931845"/>
    <w:rsid w:val="009452A1"/>
    <w:rsid w:val="009A1861"/>
    <w:rsid w:val="009D593D"/>
    <w:rsid w:val="009E123A"/>
    <w:rsid w:val="009F0701"/>
    <w:rsid w:val="00A21253"/>
    <w:rsid w:val="00A64899"/>
    <w:rsid w:val="00A753BD"/>
    <w:rsid w:val="00AA2E0E"/>
    <w:rsid w:val="00AA4093"/>
    <w:rsid w:val="00AC0283"/>
    <w:rsid w:val="00B11568"/>
    <w:rsid w:val="00BC33D5"/>
    <w:rsid w:val="00BC39F5"/>
    <w:rsid w:val="00BF4C55"/>
    <w:rsid w:val="00C8393D"/>
    <w:rsid w:val="00CC03D8"/>
    <w:rsid w:val="00D0714F"/>
    <w:rsid w:val="00D343CB"/>
    <w:rsid w:val="00D40E53"/>
    <w:rsid w:val="00D7237E"/>
    <w:rsid w:val="00D8214B"/>
    <w:rsid w:val="00DB6DA8"/>
    <w:rsid w:val="00DB767B"/>
    <w:rsid w:val="00DE00AA"/>
    <w:rsid w:val="00DE0413"/>
    <w:rsid w:val="00DF31ED"/>
    <w:rsid w:val="00E26F97"/>
    <w:rsid w:val="00E31E09"/>
    <w:rsid w:val="00E50EA9"/>
    <w:rsid w:val="00E71240"/>
    <w:rsid w:val="00E71376"/>
    <w:rsid w:val="00E76695"/>
    <w:rsid w:val="00E94F0A"/>
    <w:rsid w:val="00EA4932"/>
    <w:rsid w:val="00EC6F6B"/>
    <w:rsid w:val="00F07507"/>
    <w:rsid w:val="00F216B2"/>
    <w:rsid w:val="00F723E3"/>
    <w:rsid w:val="00FA1C88"/>
    <w:rsid w:val="00FB4999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2"/>
    <w:rPr>
      <w:rFonts w:eastAsiaTheme="minorEastAsia"/>
      <w:lang w:eastAsia="en-IE"/>
    </w:rPr>
  </w:style>
  <w:style w:type="paragraph" w:styleId="Heading8">
    <w:name w:val="heading 8"/>
    <w:basedOn w:val="Normal"/>
    <w:next w:val="Normal"/>
    <w:link w:val="Heading8Char"/>
    <w:qFormat/>
    <w:rsid w:val="00336F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36FE2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ListParagraph">
    <w:name w:val="List Paragraph"/>
    <w:basedOn w:val="Normal"/>
    <w:qFormat/>
    <w:rsid w:val="0033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E2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336FE2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53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4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53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9A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9A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1E1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staff/benefits-services/health-and-safety/lone-workin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althservice.hse.ie/filelibrary/staff/hse-policy-on-lone-workin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a.ie/eng/Publications_and_Forms/Publications/Healthcare_Sector/Guidance_on_Lone_Working_in_the_Healthcare_Sector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ealthservice.hse.ie/filelibrary/staff/guideline-on-completing-occupational-safety-and-health-risk-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B1F-F26A-4559-AE3C-43152D33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O'Hanlon, Kathleen</cp:lastModifiedBy>
  <cp:revision>19</cp:revision>
  <dcterms:created xsi:type="dcterms:W3CDTF">2020-03-26T15:55:00Z</dcterms:created>
  <dcterms:modified xsi:type="dcterms:W3CDTF">2021-01-15T10:08:00Z</dcterms:modified>
</cp:coreProperties>
</file>