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836"/>
        <w:gridCol w:w="1563"/>
        <w:gridCol w:w="4205"/>
        <w:gridCol w:w="1559"/>
      </w:tblGrid>
      <w:tr w:rsidR="007F447E" w:rsidRPr="00BE1006" w14:paraId="23AC25F2" w14:textId="77777777" w:rsidTr="006F0FEA">
        <w:trPr>
          <w:trHeight w:val="1692"/>
        </w:trPr>
        <w:tc>
          <w:tcPr>
            <w:tcW w:w="1611" w:type="dxa"/>
          </w:tcPr>
          <w:p w14:paraId="58D5B754" w14:textId="77777777" w:rsidR="007F447E" w:rsidRPr="00BE1006" w:rsidRDefault="00196855" w:rsidP="00D51B2B">
            <w:pPr>
              <w:spacing w:after="100" w:afterAutospacing="1"/>
              <w:rPr>
                <w:rFonts w:ascii="Calibri" w:hAnsi="Calibri"/>
                <w:b/>
              </w:rPr>
            </w:pPr>
            <w:r w:rsidRPr="00196855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7216" behindDoc="1" locked="0" layoutInCell="1" allowOverlap="1" wp14:anchorId="77025700" wp14:editId="2FD089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19150" cy="885825"/>
                  <wp:effectExtent l="19050" t="0" r="0" b="0"/>
                  <wp:wrapTight wrapText="bothSides">
                    <wp:wrapPolygon edited="0">
                      <wp:start x="-502" y="0"/>
                      <wp:lineTo x="-502" y="21291"/>
                      <wp:lineTo x="21600" y="21291"/>
                      <wp:lineTo x="21600" y="0"/>
                      <wp:lineTo x="-502" y="0"/>
                    </wp:wrapPolygon>
                  </wp:wrapTight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04" w:type="dxa"/>
            <w:gridSpan w:val="3"/>
            <w:shd w:val="clear" w:color="auto" w:fill="943634" w:themeFill="accent2" w:themeFillShade="BF"/>
          </w:tcPr>
          <w:p w14:paraId="19E6FAB8" w14:textId="77777777" w:rsidR="007F447E" w:rsidRPr="001C16B8" w:rsidRDefault="007F447E" w:rsidP="00D51B2B">
            <w:pPr>
              <w:spacing w:after="100" w:afterAutospacing="1" w:line="240" w:lineRule="auto"/>
              <w:rPr>
                <w:rFonts w:ascii="Calibri" w:hAnsi="Calibri"/>
                <w:b/>
                <w:color w:val="FFFFFF"/>
              </w:rPr>
            </w:pPr>
          </w:p>
          <w:p w14:paraId="4D2D1938" w14:textId="77777777" w:rsidR="007F447E" w:rsidRPr="001471CA" w:rsidRDefault="00646C19" w:rsidP="00D51B2B">
            <w:pPr>
              <w:spacing w:after="100" w:afterAutospacing="1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Risk Assessment </w:t>
            </w:r>
            <w:r w:rsidR="00D426F5">
              <w:rPr>
                <w:rFonts w:ascii="Calibri" w:hAnsi="Calibri"/>
                <w:b/>
                <w:color w:val="FFFFFF"/>
                <w:sz w:val="44"/>
                <w:szCs w:val="44"/>
              </w:rPr>
              <w:t>Prompt Sheets</w:t>
            </w:r>
          </w:p>
        </w:tc>
        <w:tc>
          <w:tcPr>
            <w:tcW w:w="1559" w:type="dxa"/>
            <w:shd w:val="clear" w:color="auto" w:fill="auto"/>
          </w:tcPr>
          <w:p w14:paraId="562D51E8" w14:textId="77777777" w:rsidR="007F447E" w:rsidRPr="001C16B8" w:rsidRDefault="007F447E" w:rsidP="00360ADB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 w:rsidRPr="00572321">
              <w:rPr>
                <w:rFonts w:ascii="Calibri" w:hAnsi="Calibri"/>
                <w:b/>
                <w:noProof/>
                <w:color w:val="FFFFFF"/>
              </w:rPr>
              <w:drawing>
                <wp:anchor distT="0" distB="0" distL="114300" distR="114300" simplePos="0" relativeHeight="251663360" behindDoc="0" locked="0" layoutInCell="1" allowOverlap="1" wp14:anchorId="6E4409A3" wp14:editId="4332B5F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1905</wp:posOffset>
                  </wp:positionV>
                  <wp:extent cx="942975" cy="939800"/>
                  <wp:effectExtent l="0" t="0" r="0" b="0"/>
                  <wp:wrapSquare wrapText="bothSides"/>
                  <wp:docPr id="16" name="Picture 2" descr="cid:image003.jpg@01D2FB20.B009E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447E" w:rsidRPr="00BE1006" w14:paraId="2C7ED3CC" w14:textId="77777777" w:rsidTr="0046520A">
        <w:tc>
          <w:tcPr>
            <w:tcW w:w="1611" w:type="dxa"/>
            <w:vAlign w:val="center"/>
          </w:tcPr>
          <w:p w14:paraId="1E3887A3" w14:textId="7B55E944" w:rsidR="007F447E" w:rsidRPr="00140E20" w:rsidRDefault="006F0FEA" w:rsidP="00D426F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PS:</w:t>
            </w:r>
            <w:r w:rsidR="00450B9D">
              <w:rPr>
                <w:b/>
              </w:rPr>
              <w:t>034:01</w:t>
            </w:r>
          </w:p>
        </w:tc>
        <w:tc>
          <w:tcPr>
            <w:tcW w:w="9163" w:type="dxa"/>
            <w:gridSpan w:val="4"/>
            <w:shd w:val="clear" w:color="auto" w:fill="943634" w:themeFill="accent2" w:themeFillShade="BF"/>
          </w:tcPr>
          <w:p w14:paraId="79B84011" w14:textId="77777777" w:rsidR="007F447E" w:rsidRPr="001471CA" w:rsidRDefault="007F447E" w:rsidP="00360ADB">
            <w:pPr>
              <w:spacing w:after="0" w:line="240" w:lineRule="auto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RE: </w:t>
            </w:r>
            <w:r w:rsidR="00DD2540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Maintaining Portable Electrical Equipment in Low Risk Environments </w:t>
            </w:r>
          </w:p>
        </w:tc>
      </w:tr>
      <w:tr w:rsidR="006F0FEA" w:rsidRPr="00B26179" w14:paraId="4491F548" w14:textId="77777777" w:rsidTr="0034254D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611" w:type="dxa"/>
          </w:tcPr>
          <w:p w14:paraId="18900A42" w14:textId="77777777" w:rsidR="006F0FEA" w:rsidRPr="00140E20" w:rsidRDefault="006F0FEA" w:rsidP="00152AA3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1836" w:type="dxa"/>
          </w:tcPr>
          <w:p w14:paraId="68E654F3" w14:textId="77777777" w:rsidR="006F0FEA" w:rsidRPr="00140E20" w:rsidRDefault="006F0FEA" w:rsidP="00152AA3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 xml:space="preserve"> June 2018</w:t>
            </w:r>
          </w:p>
        </w:tc>
        <w:tc>
          <w:tcPr>
            <w:tcW w:w="1563" w:type="dxa"/>
          </w:tcPr>
          <w:p w14:paraId="6755D959" w14:textId="77777777" w:rsidR="006F0FEA" w:rsidRPr="00140E20" w:rsidRDefault="006F0FEA" w:rsidP="00152AA3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 w:rsidRPr="000256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Revised Date:</w:t>
            </w:r>
          </w:p>
        </w:tc>
        <w:tc>
          <w:tcPr>
            <w:tcW w:w="5764" w:type="dxa"/>
            <w:gridSpan w:val="2"/>
          </w:tcPr>
          <w:p w14:paraId="63801AD3" w14:textId="77777777" w:rsidR="006F0FEA" w:rsidRPr="00140E20" w:rsidRDefault="006F0FEA" w:rsidP="00152AA3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 xml:space="preserve">June 2020 </w:t>
            </w:r>
          </w:p>
        </w:tc>
      </w:tr>
      <w:tr w:rsidR="007F447E" w:rsidRPr="00B26179" w14:paraId="35005D43" w14:textId="77777777" w:rsidTr="0046520A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11" w:type="dxa"/>
          </w:tcPr>
          <w:p w14:paraId="2E7BA2D3" w14:textId="77777777" w:rsidR="007F447E" w:rsidRPr="00140E20" w:rsidRDefault="007F447E" w:rsidP="00152AA3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9163" w:type="dxa"/>
            <w:gridSpan w:val="4"/>
          </w:tcPr>
          <w:p w14:paraId="5822400F" w14:textId="77777777" w:rsidR="007F447E" w:rsidRPr="00140E20" w:rsidRDefault="007F447E" w:rsidP="00152AA3">
            <w:pPr>
              <w:spacing w:after="0" w:line="240" w:lineRule="auto"/>
              <w:ind w:righ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Health and Safety Function </w:t>
            </w:r>
          </w:p>
        </w:tc>
      </w:tr>
      <w:tr w:rsidR="00747DAA" w:rsidRPr="00B26179" w14:paraId="1ADF0B67" w14:textId="77777777" w:rsidTr="006F0FEA">
        <w:tblPrEx>
          <w:tblLook w:val="01E0" w:firstRow="1" w:lastRow="1" w:firstColumn="1" w:lastColumn="1" w:noHBand="0" w:noVBand="0"/>
        </w:tblPrEx>
        <w:trPr>
          <w:trHeight w:val="2571"/>
        </w:trPr>
        <w:tc>
          <w:tcPr>
            <w:tcW w:w="1611" w:type="dxa"/>
            <w:vMerge w:val="restart"/>
          </w:tcPr>
          <w:p w14:paraId="6A0696B3" w14:textId="77777777" w:rsidR="00747DAA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Note:</w:t>
            </w:r>
          </w:p>
          <w:p w14:paraId="19D0362F" w14:textId="77777777" w:rsidR="00747DAA" w:rsidRPr="00140E20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Legislation</w:t>
            </w:r>
            <w:r w:rsidR="006F0FEA">
              <w:rPr>
                <w:rFonts w:cs="Arial"/>
                <w:b/>
                <w:bCs/>
              </w:rPr>
              <w:t>:</w:t>
            </w:r>
          </w:p>
          <w:p w14:paraId="63BB64CA" w14:textId="77777777" w:rsidR="00747DAA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71690AC" w14:textId="77777777" w:rsidR="00747DAA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7B8D08E" w14:textId="77777777" w:rsidR="00747DAA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7825A8A8" w14:textId="77777777" w:rsidR="00747DAA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57C42366" w14:textId="77777777" w:rsidR="00747DAA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1A8EEF53" w14:textId="77777777" w:rsidR="00747DAA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788012DF" w14:textId="77777777" w:rsidR="00747DAA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6460FF67" w14:textId="77777777" w:rsidR="00747DAA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7832FF23" w14:textId="77777777" w:rsidR="00747DAA" w:rsidRPr="00140E20" w:rsidRDefault="00747DAA" w:rsidP="00152AA3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Scope</w:t>
            </w:r>
            <w:r w:rsidR="006F0FEA">
              <w:rPr>
                <w:rFonts w:cs="Arial"/>
                <w:b/>
                <w:bCs/>
              </w:rPr>
              <w:t>:</w:t>
            </w:r>
          </w:p>
        </w:tc>
        <w:tc>
          <w:tcPr>
            <w:tcW w:w="9163" w:type="dxa"/>
            <w:gridSpan w:val="4"/>
          </w:tcPr>
          <w:p w14:paraId="5772D10F" w14:textId="77777777" w:rsidR="00747DAA" w:rsidRDefault="00747DAA" w:rsidP="00152AA3">
            <w:pPr>
              <w:shd w:val="clear" w:color="auto" w:fill="FFFFFF"/>
              <w:spacing w:after="0" w:line="240" w:lineRule="auto"/>
              <w:rPr>
                <w:rFonts w:cs="Arial"/>
                <w:color w:val="333333"/>
              </w:rPr>
            </w:pPr>
          </w:p>
          <w:p w14:paraId="6ACB034A" w14:textId="77777777" w:rsidR="00747DAA" w:rsidRPr="001E38D8" w:rsidRDefault="00747DAA" w:rsidP="00152AA3">
            <w:pPr>
              <w:shd w:val="clear" w:color="auto" w:fill="FFFFFF"/>
              <w:spacing w:after="0" w:line="240" w:lineRule="auto"/>
              <w:rPr>
                <w:rFonts w:cs="Arial"/>
              </w:rPr>
            </w:pPr>
            <w:r w:rsidRPr="001E38D8">
              <w:rPr>
                <w:rFonts w:cs="Arial"/>
              </w:rPr>
              <w:t>Safety, Health and Welfare at Work (General Application) Regulations, 2007 – Chapter 2 Part 2 Use of Work Equipment</w:t>
            </w:r>
          </w:p>
          <w:p w14:paraId="094A1BBB" w14:textId="77777777" w:rsidR="00747DAA" w:rsidRPr="001E38D8" w:rsidRDefault="00747DAA" w:rsidP="00152AA3">
            <w:pPr>
              <w:shd w:val="clear" w:color="auto" w:fill="FFFFFF"/>
              <w:spacing w:after="0" w:line="240" w:lineRule="auto"/>
              <w:rPr>
                <w:rFonts w:cs="Arial"/>
              </w:rPr>
            </w:pPr>
          </w:p>
          <w:p w14:paraId="7B16937F" w14:textId="77777777" w:rsidR="00747DAA" w:rsidRPr="001E38D8" w:rsidRDefault="00747DAA" w:rsidP="00152AA3">
            <w:pPr>
              <w:shd w:val="clear" w:color="auto" w:fill="FFFFFF"/>
              <w:spacing w:after="0" w:line="240" w:lineRule="auto"/>
              <w:rPr>
                <w:rFonts w:cs="Arial"/>
              </w:rPr>
            </w:pPr>
            <w:r w:rsidRPr="001E38D8">
              <w:rPr>
                <w:rFonts w:cs="Arial"/>
              </w:rPr>
              <w:t>Safety, Health and Welfare at Work (General Application) Regulations, 2007- Part 3 Electricity</w:t>
            </w:r>
          </w:p>
          <w:p w14:paraId="2C2562AD" w14:textId="77777777" w:rsidR="00747DAA" w:rsidRPr="0056464B" w:rsidRDefault="00747DAA" w:rsidP="00152AA3">
            <w:pPr>
              <w:shd w:val="clear" w:color="auto" w:fill="FFFFFF"/>
              <w:spacing w:after="0" w:line="240" w:lineRule="auto"/>
              <w:rPr>
                <w:rFonts w:cs="Arial"/>
                <w:color w:val="333333"/>
              </w:rPr>
            </w:pPr>
          </w:p>
          <w:p w14:paraId="31476449" w14:textId="19A3F0DD" w:rsidR="00747DAA" w:rsidRPr="0056464B" w:rsidRDefault="003F26EA" w:rsidP="00843125">
            <w:pPr>
              <w:spacing w:after="0" w:line="240" w:lineRule="auto"/>
              <w:rPr>
                <w:rFonts w:cs="Arial"/>
                <w:color w:val="333333"/>
              </w:rPr>
            </w:pPr>
            <w:r>
              <w:rPr>
                <w:rFonts w:ascii="Calibri" w:eastAsia="Times New Roman" w:hAnsi="Calibri" w:cs="Times New Roman"/>
                <w:bCs/>
              </w:rPr>
              <w:t>For f</w:t>
            </w:r>
            <w:r w:rsidR="00B9453F">
              <w:rPr>
                <w:rFonts w:ascii="Calibri" w:eastAsia="Times New Roman" w:hAnsi="Calibri" w:cs="Times New Roman"/>
                <w:bCs/>
              </w:rPr>
              <w:t>urther</w:t>
            </w:r>
            <w:r>
              <w:rPr>
                <w:rFonts w:ascii="Calibri" w:eastAsia="Times New Roman" w:hAnsi="Calibri" w:cs="Times New Roman"/>
                <w:bCs/>
              </w:rPr>
              <w:t xml:space="preserve"> information please refer to </w:t>
            </w:r>
            <w:r w:rsidR="00747DAA">
              <w:rPr>
                <w:rFonts w:ascii="Calibri" w:eastAsia="Times New Roman" w:hAnsi="Calibri" w:cs="Times New Roman"/>
                <w:bCs/>
              </w:rPr>
              <w:t xml:space="preserve">the Guide to Safety, Health and Welfare at Work (General Application) Regulations 2007 Part 3 Electricity on their website </w:t>
            </w:r>
            <w:hyperlink r:id="rId11" w:history="1">
              <w:r w:rsidR="00747DAA">
                <w:rPr>
                  <w:rStyle w:val="Hyperlink"/>
                  <w:rFonts w:ascii="Calibri" w:hAnsi="Calibri"/>
                  <w:bCs/>
                </w:rPr>
                <w:t>www.hsa.ie</w:t>
              </w:r>
            </w:hyperlink>
            <w:r w:rsidR="005E6B63">
              <w:rPr>
                <w:rFonts w:ascii="Calibri" w:eastAsia="Times New Roman" w:hAnsi="Calibri" w:cs="Times New Roman"/>
                <w:bCs/>
              </w:rPr>
              <w:t xml:space="preserve">  and </w:t>
            </w:r>
            <w:r w:rsidR="00843125">
              <w:rPr>
                <w:rFonts w:ascii="Calibri" w:eastAsia="Times New Roman" w:hAnsi="Calibri" w:cs="Times New Roman"/>
                <w:bCs/>
              </w:rPr>
              <w:t>in “</w:t>
            </w:r>
            <w:r w:rsidR="00843125" w:rsidRPr="00843125">
              <w:rPr>
                <w:rFonts w:ascii="Calibri" w:eastAsia="Times New Roman" w:hAnsi="Calibri" w:cs="Times New Roman"/>
                <w:bCs/>
                <w:i/>
              </w:rPr>
              <w:t>Maintaining Portable Electrical Equipment in low-risk Environments”</w:t>
            </w:r>
            <w:r w:rsidR="00843125">
              <w:rPr>
                <w:rFonts w:ascii="Calibri" w:eastAsia="Times New Roman" w:hAnsi="Calibri" w:cs="Times New Roman"/>
                <w:bCs/>
                <w:i/>
              </w:rPr>
              <w:t xml:space="preserve"> on </w:t>
            </w:r>
            <w:hyperlink r:id="rId12" w:history="1">
              <w:r w:rsidR="00843125" w:rsidRPr="00843125">
                <w:rPr>
                  <w:rStyle w:val="Hyperlink"/>
                  <w:rFonts w:ascii="Calibri" w:eastAsia="Times New Roman" w:hAnsi="Calibri" w:cs="Times New Roman"/>
                  <w:bCs/>
                  <w:i/>
                </w:rPr>
                <w:t>https://www.hse.gov.uk/pubns/indg236.htm</w:t>
              </w:r>
            </w:hyperlink>
          </w:p>
        </w:tc>
      </w:tr>
      <w:tr w:rsidR="009469B5" w:rsidRPr="00B26179" w14:paraId="65D1B351" w14:textId="77777777" w:rsidTr="0046520A">
        <w:tblPrEx>
          <w:tblLook w:val="01E0" w:firstRow="1" w:lastRow="1" w:firstColumn="1" w:lastColumn="1" w:noHBand="0" w:noVBand="0"/>
        </w:tblPrEx>
        <w:trPr>
          <w:trHeight w:val="786"/>
        </w:trPr>
        <w:tc>
          <w:tcPr>
            <w:tcW w:w="1611" w:type="dxa"/>
            <w:vMerge/>
          </w:tcPr>
          <w:p w14:paraId="79C541CF" w14:textId="77777777" w:rsidR="009469B5" w:rsidRDefault="009469B5" w:rsidP="00152AA3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9163" w:type="dxa"/>
            <w:gridSpan w:val="4"/>
          </w:tcPr>
          <w:p w14:paraId="1F7AA8C6" w14:textId="77777777" w:rsidR="009469B5" w:rsidRPr="006F0FEA" w:rsidRDefault="009469B5" w:rsidP="00152A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0FEA">
              <w:rPr>
                <w:rFonts w:eastAsia="Times New Roman" w:cs="Times New Roman"/>
              </w:rPr>
              <w:t>T</w:t>
            </w:r>
            <w:r w:rsidRPr="006F0FEA">
              <w:rPr>
                <w:rFonts w:eastAsiaTheme="minorHAnsi" w:cs="Helv"/>
                <w:color w:val="000000"/>
                <w:lang w:eastAsia="en-US"/>
              </w:rPr>
              <w:t xml:space="preserve">he following is a non-exhaustive list of prompts relevant to the hazard </w:t>
            </w:r>
            <w:r w:rsidRPr="006F0FEA">
              <w:rPr>
                <w:rFonts w:eastAsia="Times New Roman" w:cs="Times New Roman"/>
              </w:rPr>
              <w:t xml:space="preserve">which </w:t>
            </w:r>
            <w:r w:rsidRPr="006F0FEA">
              <w:t xml:space="preserve">should </w:t>
            </w:r>
            <w:r w:rsidRPr="006F0FEA">
              <w:rPr>
                <w:rFonts w:ascii="Calibri" w:eastAsia="Times New Roman" w:hAnsi="Calibri" w:cs="Times New Roman"/>
              </w:rPr>
              <w:t xml:space="preserve">be </w:t>
            </w:r>
            <w:r w:rsidR="009E26B3" w:rsidRPr="006F0FEA">
              <w:rPr>
                <w:rFonts w:ascii="Calibri" w:eastAsia="Times New Roman" w:hAnsi="Calibri" w:cs="Times New Roman"/>
              </w:rPr>
              <w:t>considered when</w:t>
            </w:r>
            <w:r w:rsidRPr="006F0FEA">
              <w:rPr>
                <w:rFonts w:ascii="Calibri" w:eastAsia="Times New Roman" w:hAnsi="Calibri" w:cs="Times New Roman"/>
              </w:rPr>
              <w:t xml:space="preserve"> assessing and controlling the risk associated with </w:t>
            </w:r>
            <w:r w:rsidR="00A84014" w:rsidRPr="006F0FEA">
              <w:rPr>
                <w:rFonts w:ascii="Calibri" w:eastAsia="Times New Roman" w:hAnsi="Calibri" w:cs="Times New Roman"/>
              </w:rPr>
              <w:t>p</w:t>
            </w:r>
            <w:r w:rsidR="00501308" w:rsidRPr="006F0FEA">
              <w:rPr>
                <w:rFonts w:ascii="Calibri" w:eastAsia="Times New Roman" w:hAnsi="Calibri" w:cs="Times New Roman"/>
              </w:rPr>
              <w:t xml:space="preserve">ortable </w:t>
            </w:r>
            <w:r w:rsidR="00A84014" w:rsidRPr="006F0FEA">
              <w:rPr>
                <w:rFonts w:ascii="Calibri" w:eastAsia="Times New Roman" w:hAnsi="Calibri" w:cs="Times New Roman"/>
              </w:rPr>
              <w:t>e</w:t>
            </w:r>
            <w:r w:rsidR="00501308" w:rsidRPr="006F0FEA">
              <w:rPr>
                <w:rFonts w:ascii="Calibri" w:eastAsia="Times New Roman" w:hAnsi="Calibri" w:cs="Times New Roman"/>
              </w:rPr>
              <w:t>lectric</w:t>
            </w:r>
            <w:r w:rsidR="00A84014" w:rsidRPr="006F0FEA">
              <w:rPr>
                <w:rFonts w:ascii="Calibri" w:eastAsia="Times New Roman" w:hAnsi="Calibri" w:cs="Times New Roman"/>
              </w:rPr>
              <w:t>al e</w:t>
            </w:r>
            <w:r w:rsidR="00501308" w:rsidRPr="006F0FEA">
              <w:rPr>
                <w:rFonts w:ascii="Calibri" w:eastAsia="Times New Roman" w:hAnsi="Calibri" w:cs="Times New Roman"/>
              </w:rPr>
              <w:t>quipment.</w:t>
            </w:r>
          </w:p>
          <w:p w14:paraId="3FA97019" w14:textId="77777777" w:rsidR="00501308" w:rsidRDefault="00501308" w:rsidP="00152AA3">
            <w:pPr>
              <w:spacing w:after="0" w:line="240" w:lineRule="auto"/>
            </w:pPr>
          </w:p>
          <w:p w14:paraId="623E4373" w14:textId="77777777" w:rsidR="009469B5" w:rsidRDefault="009469B5" w:rsidP="00152AA3">
            <w:pPr>
              <w:spacing w:after="0" w:line="240" w:lineRule="auto"/>
            </w:pPr>
            <w:r>
              <w:t>All control measures must be documented on the appropriate risk assessment form.</w:t>
            </w:r>
          </w:p>
          <w:p w14:paraId="09AE80DA" w14:textId="77777777" w:rsidR="00501308" w:rsidRDefault="00501308" w:rsidP="00152AA3">
            <w:pPr>
              <w:spacing w:after="0" w:line="240" w:lineRule="auto"/>
            </w:pPr>
          </w:p>
          <w:p w14:paraId="0691D828" w14:textId="77777777" w:rsidR="00501308" w:rsidRDefault="00501308" w:rsidP="00152AA3">
            <w:pPr>
              <w:spacing w:after="0" w:line="240" w:lineRule="auto"/>
            </w:pPr>
            <w:r>
              <w:t>Contact HBS</w:t>
            </w:r>
            <w:r w:rsidR="00A84014">
              <w:t xml:space="preserve"> Estates for further advice on i</w:t>
            </w:r>
            <w:r>
              <w:t>nfrastructural</w:t>
            </w:r>
            <w:r w:rsidR="00A84014">
              <w:t xml:space="preserve"> e</w:t>
            </w:r>
            <w:r>
              <w:t>lectrical risk issues</w:t>
            </w:r>
            <w:r w:rsidR="006F0FEA">
              <w:t>.</w:t>
            </w:r>
          </w:p>
          <w:p w14:paraId="241E2969" w14:textId="77777777" w:rsidR="006F0FEA" w:rsidRDefault="006F0FEA" w:rsidP="00152AA3">
            <w:pPr>
              <w:spacing w:after="0" w:line="240" w:lineRule="auto"/>
            </w:pPr>
          </w:p>
          <w:p w14:paraId="3427616F" w14:textId="59E4BF88" w:rsidR="006F0FEA" w:rsidRDefault="006F0FEA" w:rsidP="00D047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714F">
              <w:t>For further gui</w:t>
            </w:r>
            <w:r>
              <w:t>dance on undertaking workplace Occupational S</w:t>
            </w:r>
            <w:r w:rsidRPr="00D0714F">
              <w:t>afety</w:t>
            </w:r>
            <w:r>
              <w:t xml:space="preserve"> Health (OSH) Risk A</w:t>
            </w:r>
            <w:r w:rsidRPr="00D0714F">
              <w:t xml:space="preserve">ssessments which are compliant with Section 19, of the Safety, Health and Welfare at Work Act, 2005 and associated legislation please refer to </w:t>
            </w:r>
            <w:bookmarkStart w:id="0" w:name="_GoBack"/>
            <w:r w:rsidR="00D04785">
              <w:fldChar w:fldCharType="begin"/>
            </w:r>
            <w:r w:rsidR="00D04785">
              <w:instrText xml:space="preserve"> HYPERLINK "https://healthservice.hse.ie/filelibrary/staff/guideline-on-completing-occupational-safety-and-health-risk-assessment.pdf" </w:instrText>
            </w:r>
            <w:r w:rsidR="00D04785">
              <w:fldChar w:fldCharType="separate"/>
            </w:r>
            <w:r w:rsidR="00D04785" w:rsidRPr="00D04785">
              <w:rPr>
                <w:rStyle w:val="Hyperlink"/>
              </w:rPr>
              <w:t>Guideline on completing occupational safety and health risk assessment</w:t>
            </w:r>
            <w:r w:rsidR="00D04785">
              <w:fldChar w:fldCharType="end"/>
            </w:r>
            <w:bookmarkEnd w:id="0"/>
          </w:p>
        </w:tc>
      </w:tr>
    </w:tbl>
    <w:p w14:paraId="38D91C05" w14:textId="77777777" w:rsidR="00360ADB" w:rsidRDefault="00360ADB"/>
    <w:tbl>
      <w:tblPr>
        <w:tblStyle w:val="TableGrid"/>
        <w:tblW w:w="10775" w:type="dxa"/>
        <w:tblInd w:w="-885" w:type="dxa"/>
        <w:tblLook w:val="04A0" w:firstRow="1" w:lastRow="0" w:firstColumn="1" w:lastColumn="0" w:noHBand="0" w:noVBand="1"/>
      </w:tblPr>
      <w:tblGrid>
        <w:gridCol w:w="568"/>
        <w:gridCol w:w="7939"/>
        <w:gridCol w:w="850"/>
        <w:gridCol w:w="709"/>
        <w:gridCol w:w="709"/>
      </w:tblGrid>
      <w:tr w:rsidR="00F52635" w14:paraId="01B9525A" w14:textId="77777777" w:rsidTr="00713126">
        <w:tc>
          <w:tcPr>
            <w:tcW w:w="568" w:type="dxa"/>
            <w:shd w:val="clear" w:color="auto" w:fill="F2F2F2" w:themeFill="background1" w:themeFillShade="F2"/>
          </w:tcPr>
          <w:p w14:paraId="7C14AD60" w14:textId="77777777" w:rsidR="00F52635" w:rsidRPr="0052112F" w:rsidRDefault="00F52635" w:rsidP="006F0FEA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7939" w:type="dxa"/>
            <w:shd w:val="clear" w:color="auto" w:fill="F2F2F2" w:themeFill="background1" w:themeFillShade="F2"/>
          </w:tcPr>
          <w:p w14:paraId="404C399B" w14:textId="77777777" w:rsidR="00F52635" w:rsidRPr="0052112F" w:rsidRDefault="00F52635" w:rsidP="006F0FEA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 xml:space="preserve">Hazard controls to be considered when carrying out your risk assessment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74AC15B" w14:textId="77777777" w:rsidR="00F52635" w:rsidRPr="0052112F" w:rsidRDefault="00F52635" w:rsidP="006F0FEA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9E895EE" w14:textId="77777777" w:rsidR="00F52635" w:rsidRPr="0052112F" w:rsidRDefault="00F52635" w:rsidP="006F0FEA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ACC8516" w14:textId="77777777" w:rsidR="00F52635" w:rsidRDefault="00F52635" w:rsidP="006F0FEA">
            <w:pPr>
              <w:rPr>
                <w:b/>
                <w:color w:val="FF0000"/>
                <w:sz w:val="24"/>
                <w:szCs w:val="24"/>
              </w:rPr>
            </w:pPr>
            <w:r w:rsidRPr="0052112F">
              <w:rPr>
                <w:b/>
                <w:color w:val="FF0000"/>
                <w:sz w:val="24"/>
                <w:szCs w:val="24"/>
              </w:rPr>
              <w:t>N/A</w:t>
            </w:r>
          </w:p>
          <w:p w14:paraId="631A4441" w14:textId="77777777" w:rsidR="00067093" w:rsidRPr="0052112F" w:rsidRDefault="00067093" w:rsidP="006F0FEA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52635" w14:paraId="377CA2C6" w14:textId="77777777" w:rsidTr="009F4A77">
        <w:tc>
          <w:tcPr>
            <w:tcW w:w="568" w:type="dxa"/>
          </w:tcPr>
          <w:p w14:paraId="3D98E6EA" w14:textId="77777777" w:rsidR="00F52635" w:rsidRPr="009F4A77" w:rsidRDefault="00F52635" w:rsidP="006F0FEA">
            <w:pPr>
              <w:rPr>
                <w:b/>
                <w:sz w:val="20"/>
                <w:szCs w:val="20"/>
                <w:lang w:eastAsia="en-US"/>
              </w:rPr>
            </w:pPr>
            <w:r w:rsidRPr="009F4A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9" w:type="dxa"/>
          </w:tcPr>
          <w:p w14:paraId="2DDF7CE6" w14:textId="77777777" w:rsidR="00F52635" w:rsidRDefault="00DD2540" w:rsidP="006F0FEA">
            <w:pPr>
              <w:rPr>
                <w:lang w:eastAsia="en-US"/>
              </w:rPr>
            </w:pPr>
            <w:r>
              <w:t xml:space="preserve">Is </w:t>
            </w:r>
            <w:r w:rsidR="00D346B8">
              <w:t>any</w:t>
            </w:r>
            <w:r>
              <w:t xml:space="preserve"> electrical equipment used in accordance with manufacturer’s instructions?</w:t>
            </w:r>
          </w:p>
        </w:tc>
        <w:tc>
          <w:tcPr>
            <w:tcW w:w="850" w:type="dxa"/>
          </w:tcPr>
          <w:p w14:paraId="71C73E85" w14:textId="77777777" w:rsidR="00F52635" w:rsidRDefault="00F52635" w:rsidP="006F0FEA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03B672A6" w14:textId="77777777" w:rsidR="00F52635" w:rsidRDefault="00F52635" w:rsidP="006F0FEA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09590760" w14:textId="77777777" w:rsidR="00F52635" w:rsidRDefault="00F52635" w:rsidP="006F0FEA">
            <w:pPr>
              <w:rPr>
                <w:lang w:eastAsia="en-US"/>
              </w:rPr>
            </w:pPr>
          </w:p>
        </w:tc>
      </w:tr>
      <w:tr w:rsidR="00F52635" w14:paraId="08642CF9" w14:textId="77777777" w:rsidTr="009F4A77">
        <w:tc>
          <w:tcPr>
            <w:tcW w:w="568" w:type="dxa"/>
          </w:tcPr>
          <w:p w14:paraId="437D68E9" w14:textId="77777777" w:rsidR="00F52635" w:rsidRPr="009F4A77" w:rsidRDefault="00F52635" w:rsidP="006F0FEA">
            <w:pPr>
              <w:rPr>
                <w:b/>
                <w:sz w:val="20"/>
                <w:szCs w:val="20"/>
                <w:lang w:eastAsia="en-US"/>
              </w:rPr>
            </w:pPr>
            <w:r w:rsidRPr="009F4A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9" w:type="dxa"/>
          </w:tcPr>
          <w:p w14:paraId="3D2E8A76" w14:textId="77777777" w:rsidR="00F52635" w:rsidRDefault="00DD2540" w:rsidP="006F0FEA">
            <w:pPr>
              <w:rPr>
                <w:lang w:eastAsia="en-US"/>
              </w:rPr>
            </w:pPr>
            <w:r>
              <w:rPr>
                <w:rFonts w:ascii="Calibri" w:eastAsia="Constantia" w:hAnsi="Calibri" w:cs="Times New Roman"/>
              </w:rPr>
              <w:t>Is the equipment suitable for the job?</w:t>
            </w:r>
          </w:p>
        </w:tc>
        <w:tc>
          <w:tcPr>
            <w:tcW w:w="850" w:type="dxa"/>
          </w:tcPr>
          <w:p w14:paraId="3D82A636" w14:textId="77777777" w:rsidR="00F52635" w:rsidRDefault="00F52635" w:rsidP="006F0FEA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582F3B2F" w14:textId="77777777" w:rsidR="00F52635" w:rsidRDefault="00F52635" w:rsidP="006F0FEA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26FE648D" w14:textId="77777777" w:rsidR="00F52635" w:rsidRDefault="00F52635" w:rsidP="006F0FEA">
            <w:pPr>
              <w:rPr>
                <w:lang w:eastAsia="en-US"/>
              </w:rPr>
            </w:pPr>
          </w:p>
        </w:tc>
      </w:tr>
      <w:tr w:rsidR="00F52635" w14:paraId="4BCA7FCC" w14:textId="77777777" w:rsidTr="009F4A77">
        <w:tc>
          <w:tcPr>
            <w:tcW w:w="568" w:type="dxa"/>
          </w:tcPr>
          <w:p w14:paraId="061E0555" w14:textId="77777777" w:rsidR="00F52635" w:rsidRPr="009F4A77" w:rsidRDefault="00F52635" w:rsidP="006F0FEA">
            <w:pPr>
              <w:rPr>
                <w:b/>
                <w:sz w:val="20"/>
                <w:szCs w:val="20"/>
                <w:lang w:eastAsia="en-US"/>
              </w:rPr>
            </w:pPr>
            <w:r w:rsidRPr="009F4A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9" w:type="dxa"/>
          </w:tcPr>
          <w:p w14:paraId="48BF3C2F" w14:textId="77777777" w:rsidR="00DD2540" w:rsidRDefault="00DD2540" w:rsidP="006F0FEA">
            <w:r>
              <w:t>Are visual checks of electrical equipment carried out before use to identify any obvious faults?</w:t>
            </w:r>
            <w:r w:rsidR="00D54912">
              <w:t xml:space="preserve"> </w:t>
            </w:r>
            <w:r w:rsidR="00130EC8">
              <w:t xml:space="preserve">Look for </w:t>
            </w:r>
            <w:r w:rsidR="006F0FEA">
              <w:t>signs of</w:t>
            </w:r>
            <w:r>
              <w:t>:</w:t>
            </w:r>
          </w:p>
          <w:p w14:paraId="6B74BAA7" w14:textId="77777777" w:rsidR="00DD2540" w:rsidRPr="00FE26C0" w:rsidRDefault="00DD2540" w:rsidP="006F0F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t xml:space="preserve">damage to the lead including fraying, cuts or heavy scuffing, </w:t>
            </w:r>
            <w:r w:rsidR="00D76CEA">
              <w:t>e.g.</w:t>
            </w:r>
            <w:r>
              <w:t xml:space="preserve"> from floor box covers; damage to the plug, </w:t>
            </w:r>
            <w:r w:rsidR="00D76CEA">
              <w:t>e.g.</w:t>
            </w:r>
            <w:r>
              <w:t xml:space="preserve"> to the cover or bent pins</w:t>
            </w:r>
          </w:p>
          <w:p w14:paraId="782981DD" w14:textId="77777777" w:rsidR="00DD2540" w:rsidRPr="00FE26C0" w:rsidRDefault="00DD2540" w:rsidP="006F0F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t>tape applied to the lead to join leads together</w:t>
            </w:r>
          </w:p>
          <w:p w14:paraId="6B67FC62" w14:textId="77777777" w:rsidR="00DD2540" w:rsidRPr="00FE26C0" w:rsidRDefault="00DD2540" w:rsidP="006F0F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t>coloured wires visible where the lead joins the plug (the cable is not being gripped where it enters the plug)</w:t>
            </w:r>
          </w:p>
          <w:p w14:paraId="0F4A3A9C" w14:textId="77777777" w:rsidR="00EA7B31" w:rsidRPr="00EA7B31" w:rsidRDefault="00DD2540" w:rsidP="006F0F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t xml:space="preserve">damage to the outer cover of the equipment itself, including loose parts or screws;  signs of overheating, such as burn marks or staining on the plug, lead or piece of equipment </w:t>
            </w:r>
          </w:p>
          <w:p w14:paraId="2DB721A7" w14:textId="77777777" w:rsidR="00DD2540" w:rsidRPr="00EA7B31" w:rsidRDefault="00DD2540" w:rsidP="006F0F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t>equipment that has been used or stored in unsuitable conditions, such as wet or dusty environments or where water spills are possible</w:t>
            </w:r>
          </w:p>
          <w:p w14:paraId="6592D93C" w14:textId="77777777" w:rsidR="00F52635" w:rsidRPr="00FE26C0" w:rsidRDefault="00DD2540" w:rsidP="006F0F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>
              <w:t>cables trapped un</w:t>
            </w:r>
            <w:r w:rsidR="006F0FEA">
              <w:t>der furniture or in floor boxes</w:t>
            </w:r>
          </w:p>
        </w:tc>
        <w:tc>
          <w:tcPr>
            <w:tcW w:w="850" w:type="dxa"/>
          </w:tcPr>
          <w:p w14:paraId="4DA4BD45" w14:textId="77777777" w:rsidR="00F52635" w:rsidRDefault="00F52635" w:rsidP="006F0FEA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43FDDE2D" w14:textId="77777777" w:rsidR="00F52635" w:rsidRDefault="00F52635" w:rsidP="006F0FEA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7D414394" w14:textId="77777777" w:rsidR="00F52635" w:rsidRDefault="00F52635" w:rsidP="006F0FEA">
            <w:pPr>
              <w:rPr>
                <w:lang w:eastAsia="en-US"/>
              </w:rPr>
            </w:pPr>
          </w:p>
        </w:tc>
      </w:tr>
      <w:tr w:rsidR="00F52635" w14:paraId="37B03F9F" w14:textId="77777777" w:rsidTr="009F4A77">
        <w:tc>
          <w:tcPr>
            <w:tcW w:w="568" w:type="dxa"/>
          </w:tcPr>
          <w:p w14:paraId="329598D7" w14:textId="77777777" w:rsidR="00F52635" w:rsidRPr="009F4A77" w:rsidRDefault="00DD2540" w:rsidP="006F0FEA">
            <w:pPr>
              <w:rPr>
                <w:b/>
                <w:sz w:val="20"/>
                <w:szCs w:val="20"/>
                <w:lang w:eastAsia="en-US"/>
              </w:rPr>
            </w:pPr>
            <w:r w:rsidRPr="009F4A7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939" w:type="dxa"/>
          </w:tcPr>
          <w:p w14:paraId="301540E1" w14:textId="77777777" w:rsidR="00F52635" w:rsidRDefault="00F52635" w:rsidP="006F0FEA">
            <w:pPr>
              <w:rPr>
                <w:lang w:eastAsia="en-US"/>
              </w:rPr>
            </w:pPr>
            <w:r>
              <w:t xml:space="preserve">Are employees instructed to carry out visual </w:t>
            </w:r>
            <w:r w:rsidR="00DD2540">
              <w:t>inspections (</w:t>
            </w:r>
            <w:r w:rsidR="00130EC8">
              <w:t>as</w:t>
            </w:r>
            <w:r w:rsidR="00930FE5">
              <w:t xml:space="preserve"> </w:t>
            </w:r>
            <w:r w:rsidR="00DD2540">
              <w:t xml:space="preserve">above) </w:t>
            </w:r>
            <w:r>
              <w:t>before using equipment and report faults immediately?</w:t>
            </w:r>
          </w:p>
        </w:tc>
        <w:tc>
          <w:tcPr>
            <w:tcW w:w="850" w:type="dxa"/>
          </w:tcPr>
          <w:p w14:paraId="3A66CA3C" w14:textId="77777777" w:rsidR="00F52635" w:rsidRDefault="00F52635" w:rsidP="006F0FEA"/>
        </w:tc>
        <w:tc>
          <w:tcPr>
            <w:tcW w:w="709" w:type="dxa"/>
          </w:tcPr>
          <w:p w14:paraId="1469391D" w14:textId="77777777" w:rsidR="00F52635" w:rsidRDefault="00F52635" w:rsidP="006F0FEA"/>
        </w:tc>
        <w:tc>
          <w:tcPr>
            <w:tcW w:w="709" w:type="dxa"/>
          </w:tcPr>
          <w:p w14:paraId="23C0D4CB" w14:textId="77777777" w:rsidR="00F52635" w:rsidRDefault="00F52635" w:rsidP="006F0FEA"/>
        </w:tc>
      </w:tr>
      <w:tr w:rsidR="00EA7B31" w14:paraId="28FA435A" w14:textId="77777777" w:rsidTr="009F4A77">
        <w:tc>
          <w:tcPr>
            <w:tcW w:w="568" w:type="dxa"/>
          </w:tcPr>
          <w:p w14:paraId="7F85825C" w14:textId="77777777" w:rsidR="00EA7B31" w:rsidRPr="009F4A77" w:rsidRDefault="00130EC8" w:rsidP="006F0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39" w:type="dxa"/>
          </w:tcPr>
          <w:p w14:paraId="3FE70E30" w14:textId="77777777" w:rsidR="00EA7B31" w:rsidRDefault="00EA7B31" w:rsidP="006F0FEA">
            <w:r>
              <w:t>Is faulty electrical equipment taken out of use immediately, labelled as faulty, and not used until repaired or replaced?</w:t>
            </w:r>
          </w:p>
        </w:tc>
        <w:tc>
          <w:tcPr>
            <w:tcW w:w="850" w:type="dxa"/>
          </w:tcPr>
          <w:p w14:paraId="1E183090" w14:textId="77777777" w:rsidR="00EA7B31" w:rsidRDefault="00EA7B31" w:rsidP="006F0FEA"/>
        </w:tc>
        <w:tc>
          <w:tcPr>
            <w:tcW w:w="709" w:type="dxa"/>
          </w:tcPr>
          <w:p w14:paraId="210BD816" w14:textId="77777777" w:rsidR="00EA7B31" w:rsidRDefault="00EA7B31" w:rsidP="006F0FEA"/>
        </w:tc>
        <w:tc>
          <w:tcPr>
            <w:tcW w:w="709" w:type="dxa"/>
          </w:tcPr>
          <w:p w14:paraId="5E6D7A50" w14:textId="77777777" w:rsidR="00EA7B31" w:rsidRDefault="00EA7B31" w:rsidP="006F0FEA"/>
        </w:tc>
      </w:tr>
      <w:tr w:rsidR="00EA7B31" w14:paraId="791CAD53" w14:textId="77777777" w:rsidTr="009F4A77">
        <w:tc>
          <w:tcPr>
            <w:tcW w:w="568" w:type="dxa"/>
          </w:tcPr>
          <w:p w14:paraId="23F6A9F1" w14:textId="77777777" w:rsidR="00EA7B31" w:rsidRPr="009F4A77" w:rsidRDefault="00130EC8" w:rsidP="006F0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39" w:type="dxa"/>
          </w:tcPr>
          <w:p w14:paraId="48E238A6" w14:textId="77777777" w:rsidR="00EA7B31" w:rsidRDefault="00EA7B31" w:rsidP="006F0FEA">
            <w:r>
              <w:t>Are repairs undertaken by competent person/s only?</w:t>
            </w:r>
          </w:p>
        </w:tc>
        <w:tc>
          <w:tcPr>
            <w:tcW w:w="850" w:type="dxa"/>
          </w:tcPr>
          <w:p w14:paraId="29A417B1" w14:textId="77777777" w:rsidR="00EA7B31" w:rsidRDefault="00EA7B31" w:rsidP="006F0FEA"/>
        </w:tc>
        <w:tc>
          <w:tcPr>
            <w:tcW w:w="709" w:type="dxa"/>
          </w:tcPr>
          <w:p w14:paraId="172D9D8C" w14:textId="77777777" w:rsidR="00EA7B31" w:rsidRDefault="00EA7B31" w:rsidP="006F0FEA"/>
        </w:tc>
        <w:tc>
          <w:tcPr>
            <w:tcW w:w="709" w:type="dxa"/>
          </w:tcPr>
          <w:p w14:paraId="4C01B8D5" w14:textId="77777777" w:rsidR="00EA7B31" w:rsidRDefault="00EA7B31" w:rsidP="006F0FEA"/>
        </w:tc>
      </w:tr>
      <w:tr w:rsidR="00F52635" w14:paraId="72821B4A" w14:textId="77777777" w:rsidTr="009F4A77">
        <w:tc>
          <w:tcPr>
            <w:tcW w:w="568" w:type="dxa"/>
          </w:tcPr>
          <w:p w14:paraId="5C324336" w14:textId="77777777" w:rsidR="00F52635" w:rsidRPr="009F4A77" w:rsidRDefault="00130EC8" w:rsidP="006F0FE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39" w:type="dxa"/>
          </w:tcPr>
          <w:p w14:paraId="0F49446A" w14:textId="77777777" w:rsidR="00DD2540" w:rsidRDefault="00F52635" w:rsidP="006F0FEA">
            <w:r>
              <w:t>Are employees aware of the importance of not swapping equipment leads between devices?</w:t>
            </w:r>
          </w:p>
        </w:tc>
        <w:tc>
          <w:tcPr>
            <w:tcW w:w="850" w:type="dxa"/>
          </w:tcPr>
          <w:p w14:paraId="08D2492A" w14:textId="77777777" w:rsidR="00F52635" w:rsidRDefault="00F52635" w:rsidP="006F0FEA"/>
        </w:tc>
        <w:tc>
          <w:tcPr>
            <w:tcW w:w="709" w:type="dxa"/>
          </w:tcPr>
          <w:p w14:paraId="064D7BA5" w14:textId="77777777" w:rsidR="00F52635" w:rsidRDefault="00F52635" w:rsidP="006F0FEA"/>
        </w:tc>
        <w:tc>
          <w:tcPr>
            <w:tcW w:w="709" w:type="dxa"/>
          </w:tcPr>
          <w:p w14:paraId="658D22EF" w14:textId="77777777" w:rsidR="00F52635" w:rsidRDefault="00F52635" w:rsidP="006F0FEA"/>
        </w:tc>
      </w:tr>
      <w:tr w:rsidR="00F52635" w14:paraId="151C4B7F" w14:textId="77777777" w:rsidTr="009F4A77">
        <w:tc>
          <w:tcPr>
            <w:tcW w:w="568" w:type="dxa"/>
          </w:tcPr>
          <w:p w14:paraId="045DD861" w14:textId="77777777" w:rsidR="00F52635" w:rsidRPr="009F4A77" w:rsidRDefault="00130EC8" w:rsidP="006F0FE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39" w:type="dxa"/>
          </w:tcPr>
          <w:p w14:paraId="1F42A355" w14:textId="77777777" w:rsidR="00F52635" w:rsidRDefault="00F52635" w:rsidP="006F0FEA">
            <w:pPr>
              <w:rPr>
                <w:lang w:eastAsia="en-US"/>
              </w:rPr>
            </w:pPr>
            <w:r>
              <w:t xml:space="preserve">Are employees advised to turn off power before cleaning / maintaining electrical equipment? </w:t>
            </w:r>
          </w:p>
        </w:tc>
        <w:tc>
          <w:tcPr>
            <w:tcW w:w="850" w:type="dxa"/>
          </w:tcPr>
          <w:p w14:paraId="5A80C028" w14:textId="77777777" w:rsidR="00F52635" w:rsidRDefault="00F52635" w:rsidP="006F0FEA"/>
        </w:tc>
        <w:tc>
          <w:tcPr>
            <w:tcW w:w="709" w:type="dxa"/>
          </w:tcPr>
          <w:p w14:paraId="185894ED" w14:textId="77777777" w:rsidR="00F52635" w:rsidRDefault="00F52635" w:rsidP="006F0FEA"/>
        </w:tc>
        <w:tc>
          <w:tcPr>
            <w:tcW w:w="709" w:type="dxa"/>
          </w:tcPr>
          <w:p w14:paraId="19560C23" w14:textId="77777777" w:rsidR="00F52635" w:rsidRDefault="00F52635" w:rsidP="006F0FEA"/>
        </w:tc>
      </w:tr>
      <w:tr w:rsidR="00F52635" w14:paraId="1AF4C5AD" w14:textId="77777777" w:rsidTr="009F4A77">
        <w:tc>
          <w:tcPr>
            <w:tcW w:w="568" w:type="dxa"/>
          </w:tcPr>
          <w:p w14:paraId="79890420" w14:textId="77777777" w:rsidR="00F52635" w:rsidRPr="009F4A77" w:rsidRDefault="00130EC8" w:rsidP="006F0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39" w:type="dxa"/>
          </w:tcPr>
          <w:p w14:paraId="18703A49" w14:textId="77777777" w:rsidR="00F52635" w:rsidRDefault="00B745C9" w:rsidP="006F0FEA">
            <w:pPr>
              <w:rPr>
                <w:lang w:eastAsia="en-US"/>
              </w:rPr>
            </w:pPr>
            <w:r>
              <w:t xml:space="preserve">Are inspection and maintenance records available for </w:t>
            </w:r>
            <w:r w:rsidR="00915D59">
              <w:t xml:space="preserve">all </w:t>
            </w:r>
            <w:r w:rsidR="00915D59" w:rsidRPr="00C74868">
              <w:t xml:space="preserve">portable </w:t>
            </w:r>
            <w:r w:rsidR="00915D59">
              <w:t>electrical equipment?</w:t>
            </w:r>
          </w:p>
        </w:tc>
        <w:tc>
          <w:tcPr>
            <w:tcW w:w="850" w:type="dxa"/>
          </w:tcPr>
          <w:p w14:paraId="2478C356" w14:textId="77777777" w:rsidR="00F52635" w:rsidRDefault="00F52635" w:rsidP="006F0FEA"/>
        </w:tc>
        <w:tc>
          <w:tcPr>
            <w:tcW w:w="709" w:type="dxa"/>
          </w:tcPr>
          <w:p w14:paraId="47EA724A" w14:textId="77777777" w:rsidR="00F52635" w:rsidRDefault="00F52635" w:rsidP="006F0FEA"/>
        </w:tc>
        <w:tc>
          <w:tcPr>
            <w:tcW w:w="709" w:type="dxa"/>
          </w:tcPr>
          <w:p w14:paraId="082F55A1" w14:textId="77777777" w:rsidR="00F52635" w:rsidRDefault="00F52635" w:rsidP="006F0FEA"/>
        </w:tc>
      </w:tr>
      <w:tr w:rsidR="00F52635" w14:paraId="3027C6D0" w14:textId="77777777" w:rsidTr="009F4A77">
        <w:tc>
          <w:tcPr>
            <w:tcW w:w="568" w:type="dxa"/>
          </w:tcPr>
          <w:p w14:paraId="3B503C90" w14:textId="77777777" w:rsidR="00F52635" w:rsidRPr="009F4A77" w:rsidRDefault="00130EC8" w:rsidP="006F0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39" w:type="dxa"/>
          </w:tcPr>
          <w:p w14:paraId="10303B6E" w14:textId="77777777" w:rsidR="005C46C9" w:rsidRDefault="00F52635" w:rsidP="006F0FEA">
            <w:pPr>
              <w:rPr>
                <w:lang w:eastAsia="en-US"/>
              </w:rPr>
            </w:pPr>
            <w:r>
              <w:t>Are extension lead</w:t>
            </w:r>
            <w:r w:rsidR="00130EC8">
              <w:t>s</w:t>
            </w:r>
            <w:r>
              <w:t xml:space="preserve"> and multiple</w:t>
            </w:r>
            <w:r w:rsidR="00930FE5">
              <w:t xml:space="preserve"> </w:t>
            </w:r>
            <w:r>
              <w:t>adaptor</w:t>
            </w:r>
            <w:r w:rsidR="00FE7A70">
              <w:t>s</w:t>
            </w:r>
            <w:r>
              <w:t xml:space="preserve"> avoided wherever possible?</w:t>
            </w:r>
          </w:p>
        </w:tc>
        <w:tc>
          <w:tcPr>
            <w:tcW w:w="850" w:type="dxa"/>
          </w:tcPr>
          <w:p w14:paraId="256499A5" w14:textId="77777777" w:rsidR="00F52635" w:rsidRDefault="00F52635" w:rsidP="006F0FEA"/>
        </w:tc>
        <w:tc>
          <w:tcPr>
            <w:tcW w:w="709" w:type="dxa"/>
          </w:tcPr>
          <w:p w14:paraId="1F6708A3" w14:textId="77777777" w:rsidR="00F52635" w:rsidRDefault="00F52635" w:rsidP="006F0FEA"/>
        </w:tc>
        <w:tc>
          <w:tcPr>
            <w:tcW w:w="709" w:type="dxa"/>
          </w:tcPr>
          <w:p w14:paraId="4EC329CF" w14:textId="77777777" w:rsidR="00F52635" w:rsidRDefault="00F52635" w:rsidP="006F0FEA"/>
        </w:tc>
      </w:tr>
      <w:tr w:rsidR="00F52635" w14:paraId="32445C36" w14:textId="77777777" w:rsidTr="009F4A77">
        <w:tc>
          <w:tcPr>
            <w:tcW w:w="568" w:type="dxa"/>
          </w:tcPr>
          <w:p w14:paraId="0102E086" w14:textId="77777777" w:rsidR="00F52635" w:rsidRPr="009F4A77" w:rsidRDefault="00130EC8" w:rsidP="006F0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39" w:type="dxa"/>
          </w:tcPr>
          <w:p w14:paraId="666C28AE" w14:textId="77777777" w:rsidR="00F52635" w:rsidRDefault="00F52635" w:rsidP="006F0FEA">
            <w:pPr>
              <w:rPr>
                <w:lang w:eastAsia="en-US"/>
              </w:rPr>
            </w:pPr>
            <w:r>
              <w:t>When unavoidable</w:t>
            </w:r>
            <w:r w:rsidR="003151BC">
              <w:t>,</w:t>
            </w:r>
            <w:r>
              <w:t xml:space="preserve"> are checks undertaken to ensure that sockets and extension leads </w:t>
            </w:r>
            <w:r w:rsidR="00130EC8">
              <w:t>are not overloaded</w:t>
            </w:r>
            <w:r>
              <w:t>?</w:t>
            </w:r>
          </w:p>
        </w:tc>
        <w:tc>
          <w:tcPr>
            <w:tcW w:w="850" w:type="dxa"/>
          </w:tcPr>
          <w:p w14:paraId="5E61774C" w14:textId="77777777" w:rsidR="00F52635" w:rsidRDefault="00F52635" w:rsidP="006F0FEA"/>
        </w:tc>
        <w:tc>
          <w:tcPr>
            <w:tcW w:w="709" w:type="dxa"/>
          </w:tcPr>
          <w:p w14:paraId="5C2A8CFA" w14:textId="77777777" w:rsidR="00F52635" w:rsidRDefault="00F52635" w:rsidP="006F0FEA"/>
        </w:tc>
        <w:tc>
          <w:tcPr>
            <w:tcW w:w="709" w:type="dxa"/>
          </w:tcPr>
          <w:p w14:paraId="676F4203" w14:textId="77777777" w:rsidR="00F52635" w:rsidRDefault="00F52635" w:rsidP="006F0FEA"/>
        </w:tc>
      </w:tr>
      <w:tr w:rsidR="00F52635" w14:paraId="1ACD613A" w14:textId="77777777" w:rsidTr="009F4A77">
        <w:tc>
          <w:tcPr>
            <w:tcW w:w="568" w:type="dxa"/>
          </w:tcPr>
          <w:p w14:paraId="03924569" w14:textId="77777777" w:rsidR="00F52635" w:rsidRPr="009F4A77" w:rsidRDefault="00DD2540" w:rsidP="006F0FEA">
            <w:pPr>
              <w:rPr>
                <w:b/>
                <w:sz w:val="20"/>
                <w:szCs w:val="20"/>
              </w:rPr>
            </w:pPr>
            <w:r w:rsidRPr="009F4A77">
              <w:rPr>
                <w:b/>
                <w:sz w:val="20"/>
                <w:szCs w:val="20"/>
              </w:rPr>
              <w:t>1</w:t>
            </w:r>
            <w:r w:rsidR="00130E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9" w:type="dxa"/>
          </w:tcPr>
          <w:p w14:paraId="1D7D6CB1" w14:textId="77777777" w:rsidR="00F52635" w:rsidRDefault="0034650B" w:rsidP="006F0FEA">
            <w:r>
              <w:t xml:space="preserve">Are fire extinguishers accessible, kept in good working order and inspected regularly? </w:t>
            </w:r>
          </w:p>
        </w:tc>
        <w:tc>
          <w:tcPr>
            <w:tcW w:w="850" w:type="dxa"/>
          </w:tcPr>
          <w:p w14:paraId="6FBF87D5" w14:textId="77777777" w:rsidR="00F52635" w:rsidRDefault="00F52635" w:rsidP="006F0FEA"/>
        </w:tc>
        <w:tc>
          <w:tcPr>
            <w:tcW w:w="709" w:type="dxa"/>
          </w:tcPr>
          <w:p w14:paraId="21CAE5CD" w14:textId="77777777" w:rsidR="00F52635" w:rsidRDefault="00F52635" w:rsidP="006F0FEA"/>
        </w:tc>
        <w:tc>
          <w:tcPr>
            <w:tcW w:w="709" w:type="dxa"/>
          </w:tcPr>
          <w:p w14:paraId="7FDEA0D7" w14:textId="77777777" w:rsidR="00F52635" w:rsidRDefault="00F52635" w:rsidP="006F0FEA"/>
        </w:tc>
      </w:tr>
      <w:tr w:rsidR="00F52635" w14:paraId="3E1DB027" w14:textId="77777777" w:rsidTr="009F4A77">
        <w:tc>
          <w:tcPr>
            <w:tcW w:w="568" w:type="dxa"/>
          </w:tcPr>
          <w:p w14:paraId="5417B121" w14:textId="77777777" w:rsidR="00F52635" w:rsidRPr="009F4A77" w:rsidRDefault="00DD2540" w:rsidP="006F0FEA">
            <w:pPr>
              <w:rPr>
                <w:b/>
                <w:sz w:val="20"/>
                <w:szCs w:val="20"/>
              </w:rPr>
            </w:pPr>
            <w:r w:rsidRPr="009F4A77">
              <w:rPr>
                <w:b/>
                <w:sz w:val="20"/>
                <w:szCs w:val="20"/>
              </w:rPr>
              <w:t>1</w:t>
            </w:r>
            <w:r w:rsidR="00130E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9" w:type="dxa"/>
          </w:tcPr>
          <w:p w14:paraId="2BF32EA2" w14:textId="77777777" w:rsidR="00F52635" w:rsidRDefault="00F52635" w:rsidP="006F0FEA">
            <w:pPr>
              <w:rPr>
                <w:lang w:eastAsia="en-US"/>
              </w:rPr>
            </w:pPr>
            <w:r>
              <w:t xml:space="preserve">Are employees aware </w:t>
            </w:r>
            <w:r w:rsidR="00921627">
              <w:t>of their</w:t>
            </w:r>
            <w:r>
              <w:t xml:space="preserve"> locations and trained in their use?</w:t>
            </w:r>
          </w:p>
        </w:tc>
        <w:tc>
          <w:tcPr>
            <w:tcW w:w="850" w:type="dxa"/>
          </w:tcPr>
          <w:p w14:paraId="2B50C90E" w14:textId="77777777" w:rsidR="00F52635" w:rsidRDefault="00F52635" w:rsidP="006F0FEA"/>
        </w:tc>
        <w:tc>
          <w:tcPr>
            <w:tcW w:w="709" w:type="dxa"/>
          </w:tcPr>
          <w:p w14:paraId="553DED82" w14:textId="77777777" w:rsidR="00F52635" w:rsidRDefault="00F52635" w:rsidP="006F0FEA"/>
        </w:tc>
        <w:tc>
          <w:tcPr>
            <w:tcW w:w="709" w:type="dxa"/>
          </w:tcPr>
          <w:p w14:paraId="43CD82BF" w14:textId="77777777" w:rsidR="00F52635" w:rsidRDefault="00F52635" w:rsidP="006F0FEA"/>
        </w:tc>
      </w:tr>
      <w:tr w:rsidR="00F52635" w14:paraId="7D27E293" w14:textId="77777777" w:rsidTr="00D51B2B">
        <w:tc>
          <w:tcPr>
            <w:tcW w:w="568" w:type="dxa"/>
            <w:tcBorders>
              <w:bottom w:val="single" w:sz="4" w:space="0" w:color="auto"/>
            </w:tcBorders>
          </w:tcPr>
          <w:p w14:paraId="13FBAF0C" w14:textId="77777777" w:rsidR="00F52635" w:rsidRPr="009F4A77" w:rsidRDefault="00DD2540" w:rsidP="006F0FEA">
            <w:pPr>
              <w:rPr>
                <w:b/>
                <w:sz w:val="20"/>
                <w:szCs w:val="20"/>
              </w:rPr>
            </w:pPr>
            <w:r w:rsidRPr="009F4A77">
              <w:rPr>
                <w:b/>
                <w:sz w:val="20"/>
                <w:szCs w:val="20"/>
              </w:rPr>
              <w:t>1</w:t>
            </w:r>
            <w:r w:rsidR="00130E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14:paraId="397721E5" w14:textId="77777777" w:rsidR="00F52635" w:rsidRDefault="00F52635" w:rsidP="006F0FEA">
            <w:pPr>
              <w:rPr>
                <w:lang w:eastAsia="en-US"/>
              </w:rPr>
            </w:pPr>
            <w:r>
              <w:t>Are emergency procedures in place?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5C336C" w14:textId="77777777" w:rsidR="00F52635" w:rsidRDefault="00F52635" w:rsidP="006F0FEA"/>
        </w:tc>
        <w:tc>
          <w:tcPr>
            <w:tcW w:w="709" w:type="dxa"/>
            <w:tcBorders>
              <w:bottom w:val="single" w:sz="4" w:space="0" w:color="auto"/>
            </w:tcBorders>
          </w:tcPr>
          <w:p w14:paraId="2E2D78EC" w14:textId="77777777" w:rsidR="00F52635" w:rsidRDefault="00F52635" w:rsidP="006F0FEA"/>
        </w:tc>
        <w:tc>
          <w:tcPr>
            <w:tcW w:w="709" w:type="dxa"/>
            <w:tcBorders>
              <w:bottom w:val="single" w:sz="4" w:space="0" w:color="auto"/>
            </w:tcBorders>
          </w:tcPr>
          <w:p w14:paraId="2184C28A" w14:textId="77777777" w:rsidR="00F52635" w:rsidRDefault="00F52635" w:rsidP="006F0FEA"/>
        </w:tc>
      </w:tr>
      <w:tr w:rsidR="00921627" w14:paraId="5DF27A2D" w14:textId="77777777" w:rsidTr="00713126">
        <w:tc>
          <w:tcPr>
            <w:tcW w:w="568" w:type="dxa"/>
            <w:shd w:val="clear" w:color="auto" w:fill="F2F2F2" w:themeFill="background1" w:themeFillShade="F2"/>
          </w:tcPr>
          <w:p w14:paraId="7E2C1550" w14:textId="77777777" w:rsidR="00921627" w:rsidRPr="009F4A77" w:rsidRDefault="00921627" w:rsidP="006F0FEA">
            <w:pPr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</w:tcPr>
          <w:p w14:paraId="7C3A9E43" w14:textId="77777777" w:rsidR="00921627" w:rsidRDefault="00921627" w:rsidP="006F0FEA">
            <w:r w:rsidRPr="00B440FA">
              <w:rPr>
                <w:b/>
              </w:rPr>
              <w:t>Accidents/Incidents and near misses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FD66873" w14:textId="77777777" w:rsidR="00921627" w:rsidRDefault="00921627" w:rsidP="006F0FEA"/>
        </w:tc>
        <w:tc>
          <w:tcPr>
            <w:tcW w:w="709" w:type="dxa"/>
            <w:shd w:val="clear" w:color="auto" w:fill="F2F2F2" w:themeFill="background1" w:themeFillShade="F2"/>
          </w:tcPr>
          <w:p w14:paraId="0F71E437" w14:textId="77777777" w:rsidR="00921627" w:rsidRDefault="00921627" w:rsidP="006F0FEA"/>
        </w:tc>
        <w:tc>
          <w:tcPr>
            <w:tcW w:w="709" w:type="dxa"/>
            <w:shd w:val="clear" w:color="auto" w:fill="F2F2F2" w:themeFill="background1" w:themeFillShade="F2"/>
          </w:tcPr>
          <w:p w14:paraId="1F4CBCC4" w14:textId="77777777" w:rsidR="00921627" w:rsidRDefault="00921627" w:rsidP="006F0FEA"/>
        </w:tc>
      </w:tr>
      <w:tr w:rsidR="00F52635" w14:paraId="1096DFAB" w14:textId="77777777" w:rsidTr="00D51B2B">
        <w:tc>
          <w:tcPr>
            <w:tcW w:w="568" w:type="dxa"/>
            <w:tcBorders>
              <w:bottom w:val="single" w:sz="4" w:space="0" w:color="auto"/>
            </w:tcBorders>
          </w:tcPr>
          <w:p w14:paraId="3A45FB6C" w14:textId="77777777" w:rsidR="00F52635" w:rsidRPr="009F4A77" w:rsidRDefault="00DD2540" w:rsidP="006F0FEA">
            <w:pPr>
              <w:rPr>
                <w:b/>
                <w:sz w:val="20"/>
                <w:szCs w:val="20"/>
              </w:rPr>
            </w:pPr>
            <w:r w:rsidRPr="009F4A77">
              <w:rPr>
                <w:b/>
                <w:sz w:val="20"/>
                <w:szCs w:val="20"/>
              </w:rPr>
              <w:t>1</w:t>
            </w:r>
            <w:r w:rsidR="00130E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14:paraId="29CB275E" w14:textId="77777777" w:rsidR="00F52635" w:rsidRDefault="00921627" w:rsidP="006F0FEA">
            <w:pPr>
              <w:rPr>
                <w:lang w:eastAsia="en-US"/>
              </w:rPr>
            </w:pPr>
            <w:r w:rsidRPr="004012C8">
              <w:t>Are all incidents/accidents/near misses recorded and investigated and remedial measures implemented?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B1FF69" w14:textId="77777777" w:rsidR="00F52635" w:rsidRDefault="00F52635" w:rsidP="006F0FEA"/>
        </w:tc>
        <w:tc>
          <w:tcPr>
            <w:tcW w:w="709" w:type="dxa"/>
            <w:tcBorders>
              <w:bottom w:val="single" w:sz="4" w:space="0" w:color="auto"/>
            </w:tcBorders>
          </w:tcPr>
          <w:p w14:paraId="54A05D2C" w14:textId="77777777" w:rsidR="00F52635" w:rsidRDefault="00F52635" w:rsidP="006F0FEA"/>
        </w:tc>
        <w:tc>
          <w:tcPr>
            <w:tcW w:w="709" w:type="dxa"/>
            <w:tcBorders>
              <w:bottom w:val="single" w:sz="4" w:space="0" w:color="auto"/>
            </w:tcBorders>
          </w:tcPr>
          <w:p w14:paraId="27234EE8" w14:textId="77777777" w:rsidR="00F52635" w:rsidRDefault="00F52635" w:rsidP="006F0FEA"/>
        </w:tc>
      </w:tr>
      <w:tr w:rsidR="00921627" w14:paraId="262A8F00" w14:textId="77777777" w:rsidTr="00713126">
        <w:tc>
          <w:tcPr>
            <w:tcW w:w="568" w:type="dxa"/>
            <w:shd w:val="clear" w:color="auto" w:fill="F2F2F2" w:themeFill="background1" w:themeFillShade="F2"/>
          </w:tcPr>
          <w:p w14:paraId="070F5E3E" w14:textId="77777777" w:rsidR="00921627" w:rsidRPr="009F4A77" w:rsidRDefault="00921627" w:rsidP="006F0FEA">
            <w:pPr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F2F2F2" w:themeFill="background1" w:themeFillShade="F2"/>
          </w:tcPr>
          <w:p w14:paraId="739F300F" w14:textId="77777777" w:rsidR="00921627" w:rsidRPr="00921627" w:rsidRDefault="00921627" w:rsidP="006F0FEA">
            <w:pPr>
              <w:rPr>
                <w:b/>
              </w:rPr>
            </w:pPr>
            <w:r w:rsidRPr="00921627">
              <w:rPr>
                <w:b/>
              </w:rPr>
              <w:t>Risk Assessments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D03B0DA" w14:textId="77777777" w:rsidR="00921627" w:rsidRDefault="00921627" w:rsidP="006F0FEA"/>
        </w:tc>
        <w:tc>
          <w:tcPr>
            <w:tcW w:w="709" w:type="dxa"/>
            <w:shd w:val="clear" w:color="auto" w:fill="F2F2F2" w:themeFill="background1" w:themeFillShade="F2"/>
          </w:tcPr>
          <w:p w14:paraId="51A46958" w14:textId="77777777" w:rsidR="00921627" w:rsidRDefault="00921627" w:rsidP="006F0FEA"/>
        </w:tc>
        <w:tc>
          <w:tcPr>
            <w:tcW w:w="709" w:type="dxa"/>
            <w:shd w:val="clear" w:color="auto" w:fill="F2F2F2" w:themeFill="background1" w:themeFillShade="F2"/>
          </w:tcPr>
          <w:p w14:paraId="2B6A401E" w14:textId="77777777" w:rsidR="00921627" w:rsidRDefault="00921627" w:rsidP="006F0FEA"/>
        </w:tc>
      </w:tr>
      <w:tr w:rsidR="00F52635" w14:paraId="77BFCE7E" w14:textId="77777777" w:rsidTr="009F4A77">
        <w:tc>
          <w:tcPr>
            <w:tcW w:w="568" w:type="dxa"/>
          </w:tcPr>
          <w:p w14:paraId="49BCAD25" w14:textId="77777777" w:rsidR="00F52635" w:rsidRPr="009F4A77" w:rsidRDefault="00DD2540" w:rsidP="006F0FEA">
            <w:pPr>
              <w:rPr>
                <w:b/>
                <w:sz w:val="20"/>
                <w:szCs w:val="20"/>
              </w:rPr>
            </w:pPr>
            <w:r w:rsidRPr="009F4A77">
              <w:rPr>
                <w:b/>
                <w:sz w:val="20"/>
                <w:szCs w:val="20"/>
              </w:rPr>
              <w:t>1</w:t>
            </w:r>
            <w:r w:rsidR="00130E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39" w:type="dxa"/>
          </w:tcPr>
          <w:p w14:paraId="664B3C7B" w14:textId="77777777" w:rsidR="00F52635" w:rsidRDefault="00F52635" w:rsidP="006F0FEA">
            <w:pPr>
              <w:rPr>
                <w:lang w:eastAsia="en-US"/>
              </w:rPr>
            </w:pPr>
            <w:r>
              <w:t xml:space="preserve">Are the results of the risk assessment communicated to all relevant employees and all who come in contact with </w:t>
            </w:r>
            <w:r w:rsidR="00C66DE8">
              <w:t>HSE</w:t>
            </w:r>
            <w:r>
              <w:t xml:space="preserve"> services and activities? </w:t>
            </w:r>
          </w:p>
        </w:tc>
        <w:tc>
          <w:tcPr>
            <w:tcW w:w="850" w:type="dxa"/>
          </w:tcPr>
          <w:p w14:paraId="6F5C24EE" w14:textId="77777777" w:rsidR="00F52635" w:rsidRDefault="00F52635" w:rsidP="006F0FEA"/>
        </w:tc>
        <w:tc>
          <w:tcPr>
            <w:tcW w:w="709" w:type="dxa"/>
          </w:tcPr>
          <w:p w14:paraId="3D01AE08" w14:textId="77777777" w:rsidR="00F52635" w:rsidRDefault="00F52635" w:rsidP="006F0FEA"/>
        </w:tc>
        <w:tc>
          <w:tcPr>
            <w:tcW w:w="709" w:type="dxa"/>
          </w:tcPr>
          <w:p w14:paraId="047E2E38" w14:textId="77777777" w:rsidR="00F52635" w:rsidRDefault="00F52635" w:rsidP="006F0FEA"/>
        </w:tc>
      </w:tr>
      <w:tr w:rsidR="00921627" w14:paraId="56F796A9" w14:textId="77777777" w:rsidTr="009F4A77">
        <w:tc>
          <w:tcPr>
            <w:tcW w:w="568" w:type="dxa"/>
          </w:tcPr>
          <w:p w14:paraId="1461A1CD" w14:textId="77777777" w:rsidR="00921627" w:rsidRPr="009F4A77" w:rsidRDefault="00DD2540" w:rsidP="006F0FEA">
            <w:pPr>
              <w:rPr>
                <w:b/>
                <w:sz w:val="20"/>
                <w:szCs w:val="20"/>
              </w:rPr>
            </w:pPr>
            <w:r w:rsidRPr="009F4A77">
              <w:rPr>
                <w:b/>
                <w:sz w:val="20"/>
                <w:szCs w:val="20"/>
              </w:rPr>
              <w:t>1</w:t>
            </w:r>
            <w:r w:rsidR="00130E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39" w:type="dxa"/>
          </w:tcPr>
          <w:p w14:paraId="0088E9DA" w14:textId="77777777" w:rsidR="00921627" w:rsidRDefault="00921627" w:rsidP="006F0FEA">
            <w:r>
              <w:t xml:space="preserve">Are risk assessments reviewed at least annually or more frequently if </w:t>
            </w:r>
            <w:r w:rsidR="009C2B43">
              <w:t xml:space="preserve">necessary i.e. </w:t>
            </w:r>
            <w:r>
              <w:t xml:space="preserve">accident/incident </w:t>
            </w:r>
            <w:r w:rsidR="009C2B43">
              <w:t xml:space="preserve">or a change in circumstances to which they relate? </w:t>
            </w:r>
          </w:p>
        </w:tc>
        <w:tc>
          <w:tcPr>
            <w:tcW w:w="850" w:type="dxa"/>
          </w:tcPr>
          <w:p w14:paraId="1F800266" w14:textId="77777777" w:rsidR="00921627" w:rsidRDefault="00921627" w:rsidP="006F0FEA"/>
        </w:tc>
        <w:tc>
          <w:tcPr>
            <w:tcW w:w="709" w:type="dxa"/>
          </w:tcPr>
          <w:p w14:paraId="0CE8D15C" w14:textId="77777777" w:rsidR="00921627" w:rsidRDefault="00921627" w:rsidP="006F0FEA"/>
        </w:tc>
        <w:tc>
          <w:tcPr>
            <w:tcW w:w="709" w:type="dxa"/>
          </w:tcPr>
          <w:p w14:paraId="5AB46E48" w14:textId="77777777" w:rsidR="00921627" w:rsidRDefault="00921627" w:rsidP="006F0FEA"/>
        </w:tc>
      </w:tr>
    </w:tbl>
    <w:p w14:paraId="735BB319" w14:textId="77777777" w:rsidR="00F52635" w:rsidRDefault="00F52635" w:rsidP="006F0FEA">
      <w:pPr>
        <w:spacing w:after="0" w:line="240" w:lineRule="auto"/>
      </w:pPr>
    </w:p>
    <w:p w14:paraId="1FF2C0E4" w14:textId="77777777" w:rsidR="007F447E" w:rsidRDefault="007F447E" w:rsidP="006F0FEA">
      <w:pPr>
        <w:spacing w:after="0" w:line="240" w:lineRule="auto"/>
      </w:pPr>
    </w:p>
    <w:sectPr w:rsidR="007F447E" w:rsidSect="006F0FEA">
      <w:headerReference w:type="default" r:id="rId13"/>
      <w:footerReference w:type="default" r:id="rId14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EA14" w14:textId="77777777" w:rsidR="0034254D" w:rsidRDefault="0034254D" w:rsidP="007F447E">
      <w:pPr>
        <w:spacing w:after="0" w:line="240" w:lineRule="auto"/>
      </w:pPr>
      <w:r>
        <w:separator/>
      </w:r>
    </w:p>
  </w:endnote>
  <w:endnote w:type="continuationSeparator" w:id="0">
    <w:p w14:paraId="6B646EEC" w14:textId="77777777" w:rsidR="0034254D" w:rsidRDefault="0034254D" w:rsidP="007F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01D92" w14:textId="0D889DC2" w:rsidR="0034254D" w:rsidRPr="0034254D" w:rsidRDefault="003D392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20 06 30 </w:t>
    </w:r>
    <w:r w:rsidR="0034254D" w:rsidRPr="0034254D">
      <w:rPr>
        <w:rFonts w:asciiTheme="majorHAnsi" w:eastAsiaTheme="majorEastAsia" w:hAnsiTheme="majorHAnsi" w:cstheme="majorBidi"/>
        <w:sz w:val="18"/>
      </w:rPr>
      <w:t xml:space="preserve">PS: 034:01 Maintaining Portable Electrical Equipment in Low Risk Environments </w:t>
    </w:r>
    <w:r w:rsidR="0034254D" w:rsidRPr="0034254D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="0034254D" w:rsidRPr="0034254D">
      <w:rPr>
        <w:rFonts w:asciiTheme="majorHAnsi" w:eastAsiaTheme="majorEastAsia" w:hAnsiTheme="majorHAnsi" w:cstheme="majorBidi"/>
        <w:sz w:val="18"/>
      </w:rPr>
      <w:t xml:space="preserve">Page </w:t>
    </w:r>
    <w:r w:rsidR="0034254D" w:rsidRPr="0034254D">
      <w:rPr>
        <w:sz w:val="18"/>
      </w:rPr>
      <w:fldChar w:fldCharType="begin"/>
    </w:r>
    <w:r w:rsidR="0034254D" w:rsidRPr="0034254D">
      <w:rPr>
        <w:sz w:val="18"/>
      </w:rPr>
      <w:instrText xml:space="preserve"> PAGE   \* MERGEFORMAT </w:instrText>
    </w:r>
    <w:r w:rsidR="0034254D" w:rsidRPr="0034254D">
      <w:rPr>
        <w:sz w:val="18"/>
      </w:rPr>
      <w:fldChar w:fldCharType="separate"/>
    </w:r>
    <w:r w:rsidR="00D04785" w:rsidRPr="00D04785">
      <w:rPr>
        <w:rFonts w:asciiTheme="majorHAnsi" w:eastAsiaTheme="majorEastAsia" w:hAnsiTheme="majorHAnsi" w:cstheme="majorBidi"/>
        <w:noProof/>
        <w:sz w:val="18"/>
      </w:rPr>
      <w:t>1</w:t>
    </w:r>
    <w:r w:rsidR="0034254D" w:rsidRPr="0034254D">
      <w:rPr>
        <w:rFonts w:asciiTheme="majorHAnsi" w:eastAsiaTheme="majorEastAsia" w:hAnsiTheme="majorHAnsi" w:cstheme="majorBidi"/>
        <w:noProof/>
        <w:sz w:val="18"/>
      </w:rPr>
      <w:fldChar w:fldCharType="end"/>
    </w:r>
  </w:p>
  <w:p w14:paraId="002B5BEF" w14:textId="77777777" w:rsidR="0034254D" w:rsidRDefault="00342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85382" w14:textId="77777777" w:rsidR="0034254D" w:rsidRDefault="0034254D" w:rsidP="007F447E">
      <w:pPr>
        <w:spacing w:after="0" w:line="240" w:lineRule="auto"/>
      </w:pPr>
      <w:r>
        <w:separator/>
      </w:r>
    </w:p>
  </w:footnote>
  <w:footnote w:type="continuationSeparator" w:id="0">
    <w:p w14:paraId="2B088B25" w14:textId="77777777" w:rsidR="0034254D" w:rsidRDefault="0034254D" w:rsidP="007F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A83FB" w14:textId="77777777" w:rsidR="0034254D" w:rsidRPr="006F0FEA" w:rsidRDefault="0034254D" w:rsidP="006F0FEA">
    <w:pPr>
      <w:jc w:val="center"/>
      <w:rPr>
        <w:rFonts w:ascii="Calibri" w:hAnsi="Calibri" w:cs="Calibri"/>
        <w:b/>
        <w:bCs/>
        <w:i/>
        <w:color w:val="C0504D"/>
        <w:sz w:val="18"/>
        <w:szCs w:val="20"/>
      </w:rPr>
    </w:pPr>
    <w:r w:rsidRPr="003E781E">
      <w:rPr>
        <w:rFonts w:ascii="Calibri" w:hAnsi="Calibri" w:cs="Calibri"/>
        <w:b/>
        <w:noProof/>
        <w:color w:val="984806"/>
        <w:sz w:val="18"/>
        <w:szCs w:val="20"/>
      </w:rPr>
      <w:drawing>
        <wp:inline distT="0" distB="0" distL="0" distR="0" wp14:anchorId="4056DECF" wp14:editId="5FAE7D18">
          <wp:extent cx="619760" cy="6654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 National Health and Safety Function, Workplace Health and Wellbeing Unit, </w:t>
    </w:r>
    <w:r w:rsidRPr="003E781E">
      <w:rPr>
        <w:rFonts w:ascii="Calibri" w:hAnsi="Calibri" w:cs="Calibri"/>
        <w:b/>
        <w:sz w:val="18"/>
        <w:szCs w:val="20"/>
      </w:rPr>
      <w:t>National HR Division</w:t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A23"/>
    <w:multiLevelType w:val="hybridMultilevel"/>
    <w:tmpl w:val="E9282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E90"/>
    <w:multiLevelType w:val="hybridMultilevel"/>
    <w:tmpl w:val="87B804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D41B7"/>
    <w:multiLevelType w:val="multilevel"/>
    <w:tmpl w:val="94C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47E"/>
    <w:rsid w:val="0000540D"/>
    <w:rsid w:val="000168C7"/>
    <w:rsid w:val="00067093"/>
    <w:rsid w:val="00077D4A"/>
    <w:rsid w:val="000B5216"/>
    <w:rsid w:val="000B70EB"/>
    <w:rsid w:val="000B7B12"/>
    <w:rsid w:val="00101305"/>
    <w:rsid w:val="001059F7"/>
    <w:rsid w:val="00105F87"/>
    <w:rsid w:val="00130EC8"/>
    <w:rsid w:val="001414B9"/>
    <w:rsid w:val="00152AA3"/>
    <w:rsid w:val="00196855"/>
    <w:rsid w:val="001B7E65"/>
    <w:rsid w:val="001C5AA4"/>
    <w:rsid w:val="001E38D8"/>
    <w:rsid w:val="00212149"/>
    <w:rsid w:val="0026417D"/>
    <w:rsid w:val="002864CD"/>
    <w:rsid w:val="002B327F"/>
    <w:rsid w:val="002B6AD7"/>
    <w:rsid w:val="002B7930"/>
    <w:rsid w:val="003151BC"/>
    <w:rsid w:val="0034254D"/>
    <w:rsid w:val="0034650B"/>
    <w:rsid w:val="00360ADB"/>
    <w:rsid w:val="00372F11"/>
    <w:rsid w:val="00394162"/>
    <w:rsid w:val="003C223E"/>
    <w:rsid w:val="003D2B67"/>
    <w:rsid w:val="003D3922"/>
    <w:rsid w:val="003E4267"/>
    <w:rsid w:val="003F26EA"/>
    <w:rsid w:val="003F7BF6"/>
    <w:rsid w:val="00434B6A"/>
    <w:rsid w:val="0043680D"/>
    <w:rsid w:val="00450B9D"/>
    <w:rsid w:val="0046520A"/>
    <w:rsid w:val="00501308"/>
    <w:rsid w:val="0052112F"/>
    <w:rsid w:val="005215C4"/>
    <w:rsid w:val="005632D5"/>
    <w:rsid w:val="0056464B"/>
    <w:rsid w:val="005C46C9"/>
    <w:rsid w:val="005D29B1"/>
    <w:rsid w:val="005D4513"/>
    <w:rsid w:val="005E0CCB"/>
    <w:rsid w:val="005E6B63"/>
    <w:rsid w:val="005F3251"/>
    <w:rsid w:val="00627150"/>
    <w:rsid w:val="00646C19"/>
    <w:rsid w:val="00686BC0"/>
    <w:rsid w:val="006F0FEA"/>
    <w:rsid w:val="00713126"/>
    <w:rsid w:val="00747DAA"/>
    <w:rsid w:val="007C34A4"/>
    <w:rsid w:val="007D5D6D"/>
    <w:rsid w:val="007F447E"/>
    <w:rsid w:val="00805CEF"/>
    <w:rsid w:val="00843125"/>
    <w:rsid w:val="00847A97"/>
    <w:rsid w:val="008E0254"/>
    <w:rsid w:val="008F2DFB"/>
    <w:rsid w:val="00915D59"/>
    <w:rsid w:val="009206A8"/>
    <w:rsid w:val="009206B5"/>
    <w:rsid w:val="00921627"/>
    <w:rsid w:val="00930FE5"/>
    <w:rsid w:val="009452A1"/>
    <w:rsid w:val="009469B5"/>
    <w:rsid w:val="009652A5"/>
    <w:rsid w:val="0097595A"/>
    <w:rsid w:val="009C2B43"/>
    <w:rsid w:val="009C4481"/>
    <w:rsid w:val="009E26B3"/>
    <w:rsid w:val="009E308E"/>
    <w:rsid w:val="009F4A77"/>
    <w:rsid w:val="00A63BD1"/>
    <w:rsid w:val="00A84014"/>
    <w:rsid w:val="00AC5A69"/>
    <w:rsid w:val="00B326D0"/>
    <w:rsid w:val="00B745C9"/>
    <w:rsid w:val="00B9453F"/>
    <w:rsid w:val="00BA0BB1"/>
    <w:rsid w:val="00BC3569"/>
    <w:rsid w:val="00BC39F5"/>
    <w:rsid w:val="00C659D1"/>
    <w:rsid w:val="00C66DE8"/>
    <w:rsid w:val="00C74868"/>
    <w:rsid w:val="00D04785"/>
    <w:rsid w:val="00D346B8"/>
    <w:rsid w:val="00D426F5"/>
    <w:rsid w:val="00D51B2B"/>
    <w:rsid w:val="00D54912"/>
    <w:rsid w:val="00D66AAD"/>
    <w:rsid w:val="00D7434A"/>
    <w:rsid w:val="00D76CEA"/>
    <w:rsid w:val="00D871D5"/>
    <w:rsid w:val="00DD2540"/>
    <w:rsid w:val="00DE26D7"/>
    <w:rsid w:val="00EA7B31"/>
    <w:rsid w:val="00EC723F"/>
    <w:rsid w:val="00F037DF"/>
    <w:rsid w:val="00F34DA1"/>
    <w:rsid w:val="00F52635"/>
    <w:rsid w:val="00FE26C0"/>
    <w:rsid w:val="00FE6967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01F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7E"/>
    <w:rPr>
      <w:rFonts w:eastAsiaTheme="minorEastAsia"/>
      <w:lang w:eastAsia="en-IE"/>
    </w:rPr>
  </w:style>
  <w:style w:type="paragraph" w:styleId="Heading8">
    <w:name w:val="heading 8"/>
    <w:basedOn w:val="Normal"/>
    <w:next w:val="Normal"/>
    <w:link w:val="Heading8Char"/>
    <w:qFormat/>
    <w:rsid w:val="007F44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F447E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E"/>
    <w:rPr>
      <w:rFonts w:ascii="Tahoma" w:eastAsiaTheme="minorEastAsia" w:hAnsi="Tahoma" w:cs="Tahoma"/>
      <w:sz w:val="16"/>
      <w:szCs w:val="16"/>
      <w:lang w:eastAsia="en-IE"/>
    </w:rPr>
  </w:style>
  <w:style w:type="character" w:styleId="Hyperlink">
    <w:name w:val="Hyperlink"/>
    <w:basedOn w:val="DefaultParagraphFont"/>
    <w:uiPriority w:val="99"/>
    <w:unhideWhenUsed/>
    <w:rsid w:val="007F44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7E"/>
    <w:pPr>
      <w:ind w:left="720"/>
      <w:contextualSpacing/>
    </w:pPr>
  </w:style>
  <w:style w:type="table" w:styleId="TableGrid">
    <w:name w:val="Table Grid"/>
    <w:basedOn w:val="TableNormal"/>
    <w:uiPriority w:val="59"/>
    <w:rsid w:val="007F447E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E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F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E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4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1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19"/>
    <w:rPr>
      <w:rFonts w:eastAsiaTheme="minorEastAsia"/>
      <w:b/>
      <w:bCs/>
      <w:sz w:val="20"/>
      <w:szCs w:val="20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F0F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gov.uk/pubns/indg23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a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5B5D-B91D-4746-BE4B-94B8F98A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O'Hanlon, Kathleen</cp:lastModifiedBy>
  <cp:revision>11</cp:revision>
  <dcterms:created xsi:type="dcterms:W3CDTF">2020-03-26T16:28:00Z</dcterms:created>
  <dcterms:modified xsi:type="dcterms:W3CDTF">2021-01-15T10:02:00Z</dcterms:modified>
</cp:coreProperties>
</file>