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1"/>
        <w:gridCol w:w="2643"/>
        <w:gridCol w:w="1842"/>
        <w:gridCol w:w="3402"/>
        <w:gridCol w:w="1560"/>
      </w:tblGrid>
      <w:tr w:rsidR="00E60045" w:rsidRPr="00BE1006" w14:paraId="69A2718F" w14:textId="77777777" w:rsidTr="00410FAB">
        <w:trPr>
          <w:trHeight w:val="1637"/>
        </w:trPr>
        <w:tc>
          <w:tcPr>
            <w:tcW w:w="1611" w:type="dxa"/>
          </w:tcPr>
          <w:p w14:paraId="18747C9A" w14:textId="77777777" w:rsidR="00E60045" w:rsidRPr="00BE1006" w:rsidRDefault="00905AB3" w:rsidP="00410FAB">
            <w:pPr>
              <w:spacing w:after="0"/>
              <w:rPr>
                <w:rFonts w:ascii="Calibri" w:hAnsi="Calibri"/>
                <w:b/>
              </w:rPr>
            </w:pPr>
            <w:r w:rsidRPr="00905AB3">
              <w:rPr>
                <w:rFonts w:ascii="Calibri" w:hAnsi="Calibri"/>
                <w:b/>
                <w:noProof/>
              </w:rPr>
              <w:drawing>
                <wp:anchor distT="0" distB="0" distL="114300" distR="114300" simplePos="0" relativeHeight="251660800" behindDoc="1" locked="0" layoutInCell="1" allowOverlap="1" wp14:anchorId="2340A153" wp14:editId="0179B251">
                  <wp:simplePos x="0" y="0"/>
                  <wp:positionH relativeFrom="column">
                    <wp:posOffset>0</wp:posOffset>
                  </wp:positionH>
                  <wp:positionV relativeFrom="paragraph">
                    <wp:posOffset>2540</wp:posOffset>
                  </wp:positionV>
                  <wp:extent cx="819150" cy="889000"/>
                  <wp:effectExtent l="19050" t="0" r="0" b="0"/>
                  <wp:wrapTight wrapText="bothSides">
                    <wp:wrapPolygon edited="0">
                      <wp:start x="-502" y="0"/>
                      <wp:lineTo x="-502" y="21291"/>
                      <wp:lineTo x="21600" y="21291"/>
                      <wp:lineTo x="21600" y="0"/>
                      <wp:lineTo x="-502"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E-Cover-Colour-Logo_For-White-Background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9150" cy="889000"/>
                          </a:xfrm>
                          <a:prstGeom prst="rect">
                            <a:avLst/>
                          </a:prstGeom>
                        </pic:spPr>
                      </pic:pic>
                    </a:graphicData>
                  </a:graphic>
                </wp:anchor>
              </w:drawing>
            </w:r>
          </w:p>
        </w:tc>
        <w:tc>
          <w:tcPr>
            <w:tcW w:w="7887" w:type="dxa"/>
            <w:gridSpan w:val="3"/>
            <w:shd w:val="clear" w:color="auto" w:fill="943634" w:themeFill="accent2" w:themeFillShade="BF"/>
          </w:tcPr>
          <w:p w14:paraId="47DCE0FC" w14:textId="77777777" w:rsidR="00E60045" w:rsidRPr="001C16B8" w:rsidRDefault="00E60045" w:rsidP="00E26C48">
            <w:pPr>
              <w:spacing w:after="0" w:line="240" w:lineRule="auto"/>
              <w:rPr>
                <w:rFonts w:ascii="Calibri" w:hAnsi="Calibri"/>
                <w:b/>
                <w:color w:val="FFFFFF"/>
              </w:rPr>
            </w:pPr>
          </w:p>
          <w:p w14:paraId="7FAFF07F" w14:textId="77777777" w:rsidR="00E60045" w:rsidRPr="001471CA" w:rsidRDefault="00A323D6" w:rsidP="00E26C48">
            <w:pPr>
              <w:spacing w:after="0" w:line="240" w:lineRule="auto"/>
              <w:rPr>
                <w:rFonts w:ascii="Calibri" w:hAnsi="Calibri"/>
                <w:b/>
                <w:color w:val="FFFFFF"/>
                <w:sz w:val="44"/>
                <w:szCs w:val="44"/>
              </w:rPr>
            </w:pPr>
            <w:r>
              <w:rPr>
                <w:rFonts w:ascii="Calibri" w:hAnsi="Calibri"/>
                <w:b/>
                <w:color w:val="FFFFFF"/>
                <w:sz w:val="44"/>
                <w:szCs w:val="44"/>
              </w:rPr>
              <w:t xml:space="preserve">Risk Assessment </w:t>
            </w:r>
            <w:r w:rsidR="00E60045">
              <w:rPr>
                <w:rFonts w:ascii="Calibri" w:hAnsi="Calibri"/>
                <w:b/>
                <w:color w:val="FFFFFF"/>
                <w:sz w:val="44"/>
                <w:szCs w:val="44"/>
              </w:rPr>
              <w:t>Prompt Sheet</w:t>
            </w:r>
          </w:p>
        </w:tc>
        <w:tc>
          <w:tcPr>
            <w:tcW w:w="1560" w:type="dxa"/>
            <w:shd w:val="clear" w:color="auto" w:fill="auto"/>
          </w:tcPr>
          <w:p w14:paraId="1BAA26E2" w14:textId="77777777" w:rsidR="00E60045" w:rsidRPr="001C16B8" w:rsidRDefault="00E60045" w:rsidP="00E26C48">
            <w:pPr>
              <w:spacing w:after="0" w:line="240" w:lineRule="auto"/>
              <w:rPr>
                <w:rFonts w:ascii="Calibri" w:hAnsi="Calibri"/>
                <w:b/>
                <w:color w:val="FFFFFF"/>
              </w:rPr>
            </w:pPr>
            <w:r w:rsidRPr="00572321">
              <w:rPr>
                <w:rFonts w:ascii="Calibri" w:hAnsi="Calibri"/>
                <w:b/>
                <w:noProof/>
                <w:color w:val="FFFFFF"/>
              </w:rPr>
              <w:drawing>
                <wp:inline distT="0" distB="0" distL="0" distR="0" wp14:anchorId="34BA73A4" wp14:editId="6FF3267B">
                  <wp:extent cx="861060" cy="868680"/>
                  <wp:effectExtent l="19050" t="0" r="0" b="0"/>
                  <wp:docPr id="16" name="Picture 2" descr="cid:image003.jpg@01D2FB20.B009E750"/>
                  <wp:cNvGraphicFramePr/>
                  <a:graphic xmlns:a="http://schemas.openxmlformats.org/drawingml/2006/main">
                    <a:graphicData uri="http://schemas.openxmlformats.org/drawingml/2006/picture">
                      <pic:pic xmlns:pic="http://schemas.openxmlformats.org/drawingml/2006/picture">
                        <pic:nvPicPr>
                          <pic:cNvPr id="0" name="Picture 2" descr="cid:image003.jpg@01D2FB20.B009E750"/>
                          <pic:cNvPicPr>
                            <a:picLocks noChangeAspect="1" noChangeArrowheads="1"/>
                          </pic:cNvPicPr>
                        </pic:nvPicPr>
                        <pic:blipFill>
                          <a:blip r:embed="rId10" cstate="print"/>
                          <a:srcRect/>
                          <a:stretch>
                            <a:fillRect/>
                          </a:stretch>
                        </pic:blipFill>
                        <pic:spPr bwMode="auto">
                          <a:xfrm>
                            <a:off x="0" y="0"/>
                            <a:ext cx="861060" cy="868680"/>
                          </a:xfrm>
                          <a:prstGeom prst="rect">
                            <a:avLst/>
                          </a:prstGeom>
                          <a:noFill/>
                          <a:ln w="9525">
                            <a:noFill/>
                            <a:miter lim="800000"/>
                            <a:headEnd/>
                            <a:tailEnd/>
                          </a:ln>
                        </pic:spPr>
                      </pic:pic>
                    </a:graphicData>
                  </a:graphic>
                </wp:inline>
              </w:drawing>
            </w:r>
          </w:p>
        </w:tc>
      </w:tr>
      <w:tr w:rsidR="00E60045" w:rsidRPr="00BE1006" w14:paraId="0F8BEA28" w14:textId="77777777" w:rsidTr="00450066">
        <w:tc>
          <w:tcPr>
            <w:tcW w:w="1611" w:type="dxa"/>
            <w:vAlign w:val="center"/>
          </w:tcPr>
          <w:p w14:paraId="17EB6367" w14:textId="420CA424" w:rsidR="00E60045" w:rsidRPr="00140E20" w:rsidRDefault="0050639A" w:rsidP="00E26C48">
            <w:pPr>
              <w:spacing w:after="0" w:line="240" w:lineRule="auto"/>
              <w:contextualSpacing/>
              <w:rPr>
                <w:b/>
              </w:rPr>
            </w:pPr>
            <w:r>
              <w:rPr>
                <w:b/>
              </w:rPr>
              <w:t>PS:</w:t>
            </w:r>
            <w:r w:rsidR="00997067">
              <w:rPr>
                <w:b/>
              </w:rPr>
              <w:t>029:01</w:t>
            </w:r>
          </w:p>
        </w:tc>
        <w:tc>
          <w:tcPr>
            <w:tcW w:w="9447" w:type="dxa"/>
            <w:gridSpan w:val="4"/>
            <w:shd w:val="clear" w:color="auto" w:fill="943634" w:themeFill="accent2" w:themeFillShade="BF"/>
          </w:tcPr>
          <w:p w14:paraId="3C5121D6" w14:textId="77777777" w:rsidR="00E60045" w:rsidRPr="001471CA" w:rsidRDefault="00E60045" w:rsidP="00E26C48">
            <w:pPr>
              <w:spacing w:after="0" w:line="240" w:lineRule="auto"/>
              <w:contextualSpacing/>
              <w:rPr>
                <w:b/>
                <w:color w:val="FFFFFF"/>
                <w:sz w:val="24"/>
                <w:szCs w:val="24"/>
              </w:rPr>
            </w:pPr>
            <w:r>
              <w:rPr>
                <w:rFonts w:ascii="Calibri" w:hAnsi="Calibri"/>
                <w:b/>
                <w:color w:val="FFFFFF"/>
                <w:sz w:val="24"/>
                <w:szCs w:val="24"/>
              </w:rPr>
              <w:t>RE: Use of Sharps</w:t>
            </w:r>
          </w:p>
        </w:tc>
      </w:tr>
      <w:tr w:rsidR="0050639A" w:rsidRPr="00B26179" w14:paraId="5B592FFB" w14:textId="77777777" w:rsidTr="0050639A">
        <w:tblPrEx>
          <w:tblLook w:val="01E0" w:firstRow="1" w:lastRow="1" w:firstColumn="1" w:lastColumn="1" w:noHBand="0" w:noVBand="0"/>
        </w:tblPrEx>
        <w:trPr>
          <w:trHeight w:val="258"/>
        </w:trPr>
        <w:tc>
          <w:tcPr>
            <w:tcW w:w="1611" w:type="dxa"/>
          </w:tcPr>
          <w:p w14:paraId="05A2CB17" w14:textId="77777777" w:rsidR="0050639A" w:rsidRPr="00140E20" w:rsidRDefault="0050639A" w:rsidP="004F46C2">
            <w:pPr>
              <w:pStyle w:val="Heading8"/>
              <w:tabs>
                <w:tab w:val="left" w:pos="2268"/>
              </w:tabs>
              <w:spacing w:before="0" w:after="0"/>
              <w:rPr>
                <w:rFonts w:asciiTheme="minorHAnsi" w:hAnsiTheme="minorHAnsi" w:cs="Arial"/>
                <w:b/>
                <w:bCs/>
                <w:i w:val="0"/>
                <w:sz w:val="22"/>
                <w:szCs w:val="22"/>
              </w:rPr>
            </w:pPr>
            <w:r w:rsidRPr="00140E20">
              <w:rPr>
                <w:rFonts w:asciiTheme="minorHAnsi" w:hAnsiTheme="minorHAnsi" w:cs="Arial"/>
                <w:b/>
                <w:bCs/>
                <w:i w:val="0"/>
                <w:sz w:val="22"/>
                <w:szCs w:val="22"/>
              </w:rPr>
              <w:t>Issue date</w:t>
            </w:r>
            <w:r>
              <w:rPr>
                <w:rFonts w:asciiTheme="minorHAnsi" w:hAnsiTheme="minorHAnsi" w:cs="Arial"/>
                <w:b/>
                <w:bCs/>
                <w:i w:val="0"/>
                <w:sz w:val="22"/>
                <w:szCs w:val="22"/>
              </w:rPr>
              <w:t>:</w:t>
            </w:r>
          </w:p>
        </w:tc>
        <w:tc>
          <w:tcPr>
            <w:tcW w:w="2643" w:type="dxa"/>
          </w:tcPr>
          <w:p w14:paraId="5155DA91" w14:textId="77777777" w:rsidR="0050639A" w:rsidRPr="00140E20" w:rsidRDefault="0050639A" w:rsidP="004F46C2">
            <w:pPr>
              <w:pStyle w:val="Heading8"/>
              <w:tabs>
                <w:tab w:val="left" w:pos="2268"/>
              </w:tabs>
              <w:spacing w:before="0" w:after="0"/>
              <w:ind w:right="34"/>
              <w:rPr>
                <w:rFonts w:asciiTheme="minorHAnsi" w:hAnsiTheme="minorHAnsi" w:cs="Arial"/>
                <w:bCs/>
                <w:i w:val="0"/>
                <w:sz w:val="22"/>
                <w:szCs w:val="22"/>
              </w:rPr>
            </w:pPr>
            <w:r>
              <w:rPr>
                <w:rFonts w:asciiTheme="minorHAnsi" w:hAnsiTheme="minorHAnsi" w:cs="Arial"/>
                <w:bCs/>
                <w:i w:val="0"/>
                <w:sz w:val="22"/>
                <w:szCs w:val="22"/>
              </w:rPr>
              <w:t>June 2018</w:t>
            </w:r>
          </w:p>
        </w:tc>
        <w:tc>
          <w:tcPr>
            <w:tcW w:w="1842" w:type="dxa"/>
          </w:tcPr>
          <w:p w14:paraId="65AEC2C4" w14:textId="77777777" w:rsidR="0050639A" w:rsidRPr="00140E20" w:rsidRDefault="0050639A" w:rsidP="004F46C2">
            <w:pPr>
              <w:pStyle w:val="Heading8"/>
              <w:tabs>
                <w:tab w:val="left" w:pos="2268"/>
              </w:tabs>
              <w:spacing w:before="0" w:after="0"/>
              <w:ind w:right="34"/>
              <w:rPr>
                <w:rFonts w:asciiTheme="minorHAnsi" w:hAnsiTheme="minorHAnsi" w:cs="Arial"/>
                <w:bCs/>
                <w:i w:val="0"/>
                <w:sz w:val="22"/>
                <w:szCs w:val="22"/>
              </w:rPr>
            </w:pPr>
            <w:r w:rsidRPr="000256EF">
              <w:rPr>
                <w:rFonts w:asciiTheme="minorHAnsi" w:hAnsiTheme="minorHAnsi" w:cs="Arial"/>
                <w:b/>
                <w:bCs/>
                <w:i w:val="0"/>
                <w:sz w:val="22"/>
                <w:szCs w:val="22"/>
              </w:rPr>
              <w:t>Revised Date:</w:t>
            </w:r>
          </w:p>
        </w:tc>
        <w:tc>
          <w:tcPr>
            <w:tcW w:w="4962" w:type="dxa"/>
            <w:gridSpan w:val="2"/>
          </w:tcPr>
          <w:p w14:paraId="7C72CE17" w14:textId="77777777" w:rsidR="0050639A" w:rsidRPr="00140E20" w:rsidRDefault="0050639A" w:rsidP="004F46C2">
            <w:pPr>
              <w:pStyle w:val="Heading8"/>
              <w:tabs>
                <w:tab w:val="left" w:pos="2268"/>
              </w:tabs>
              <w:spacing w:before="0" w:after="0"/>
              <w:ind w:right="34"/>
              <w:rPr>
                <w:rFonts w:asciiTheme="minorHAnsi" w:hAnsiTheme="minorHAnsi" w:cs="Arial"/>
                <w:bCs/>
                <w:i w:val="0"/>
                <w:sz w:val="22"/>
                <w:szCs w:val="22"/>
              </w:rPr>
            </w:pPr>
            <w:r>
              <w:rPr>
                <w:rFonts w:asciiTheme="minorHAnsi" w:hAnsiTheme="minorHAnsi" w:cs="Arial"/>
                <w:bCs/>
                <w:i w:val="0"/>
                <w:sz w:val="22"/>
                <w:szCs w:val="22"/>
              </w:rPr>
              <w:t>June 2020</w:t>
            </w:r>
          </w:p>
        </w:tc>
      </w:tr>
      <w:tr w:rsidR="00E60045" w:rsidRPr="00B26179" w14:paraId="15F805C7" w14:textId="77777777" w:rsidTr="00450066">
        <w:tblPrEx>
          <w:tblLook w:val="01E0" w:firstRow="1" w:lastRow="1" w:firstColumn="1" w:lastColumn="1" w:noHBand="0" w:noVBand="0"/>
        </w:tblPrEx>
        <w:trPr>
          <w:trHeight w:val="275"/>
        </w:trPr>
        <w:tc>
          <w:tcPr>
            <w:tcW w:w="1611" w:type="dxa"/>
          </w:tcPr>
          <w:p w14:paraId="0792921E" w14:textId="77777777" w:rsidR="00E60045" w:rsidRPr="00140E20" w:rsidRDefault="00E60045" w:rsidP="004F46C2">
            <w:pPr>
              <w:pStyle w:val="Heading8"/>
              <w:tabs>
                <w:tab w:val="left" w:pos="2268"/>
              </w:tabs>
              <w:spacing w:before="0" w:after="0"/>
              <w:rPr>
                <w:rFonts w:asciiTheme="minorHAnsi" w:hAnsiTheme="minorHAnsi" w:cs="Arial"/>
                <w:b/>
                <w:bCs/>
                <w:i w:val="0"/>
                <w:sz w:val="22"/>
                <w:szCs w:val="22"/>
              </w:rPr>
            </w:pPr>
            <w:r w:rsidRPr="00140E20">
              <w:rPr>
                <w:rFonts w:asciiTheme="minorHAnsi" w:hAnsiTheme="minorHAnsi" w:cs="Arial"/>
                <w:b/>
                <w:bCs/>
                <w:i w:val="0"/>
                <w:sz w:val="22"/>
                <w:szCs w:val="22"/>
              </w:rPr>
              <w:t>Author(s)</w:t>
            </w:r>
            <w:r>
              <w:rPr>
                <w:rFonts w:asciiTheme="minorHAnsi" w:hAnsiTheme="minorHAnsi" w:cs="Arial"/>
                <w:b/>
                <w:bCs/>
                <w:i w:val="0"/>
                <w:sz w:val="22"/>
                <w:szCs w:val="22"/>
              </w:rPr>
              <w:t>:</w:t>
            </w:r>
          </w:p>
        </w:tc>
        <w:tc>
          <w:tcPr>
            <w:tcW w:w="9447" w:type="dxa"/>
            <w:gridSpan w:val="4"/>
          </w:tcPr>
          <w:p w14:paraId="1CFC4BE3" w14:textId="77777777" w:rsidR="00E60045" w:rsidRPr="00140E20" w:rsidRDefault="00E60045" w:rsidP="004F46C2">
            <w:pPr>
              <w:spacing w:after="0" w:line="240" w:lineRule="auto"/>
              <w:ind w:right="34"/>
              <w:rPr>
                <w:rFonts w:cs="Arial"/>
                <w:bCs/>
              </w:rPr>
            </w:pPr>
            <w:r>
              <w:rPr>
                <w:rFonts w:cs="Arial"/>
                <w:bCs/>
              </w:rPr>
              <w:t xml:space="preserve">National Health and Safety Function </w:t>
            </w:r>
          </w:p>
        </w:tc>
      </w:tr>
      <w:tr w:rsidR="008B4EC8" w:rsidRPr="00B26179" w14:paraId="11576943" w14:textId="77777777" w:rsidTr="00410FAB">
        <w:tblPrEx>
          <w:tblLook w:val="01E0" w:firstRow="1" w:lastRow="1" w:firstColumn="1" w:lastColumn="1" w:noHBand="0" w:noVBand="0"/>
        </w:tblPrEx>
        <w:trPr>
          <w:trHeight w:val="1693"/>
        </w:trPr>
        <w:tc>
          <w:tcPr>
            <w:tcW w:w="1611" w:type="dxa"/>
            <w:vMerge w:val="restart"/>
          </w:tcPr>
          <w:p w14:paraId="6702739D" w14:textId="77777777" w:rsidR="008B4EC8" w:rsidRDefault="008B4EC8" w:rsidP="004F46C2">
            <w:pPr>
              <w:spacing w:after="0" w:line="240" w:lineRule="auto"/>
              <w:rPr>
                <w:b/>
              </w:rPr>
            </w:pPr>
            <w:r>
              <w:rPr>
                <w:rFonts w:cs="Arial"/>
                <w:b/>
                <w:bCs/>
              </w:rPr>
              <w:t>Note:</w:t>
            </w:r>
            <w:r>
              <w:rPr>
                <w:b/>
              </w:rPr>
              <w:t xml:space="preserve"> </w:t>
            </w:r>
          </w:p>
          <w:p w14:paraId="641A4372" w14:textId="593365EC" w:rsidR="008B4EC8" w:rsidRPr="00C23D39" w:rsidRDefault="008B4EC8" w:rsidP="004F46C2">
            <w:pPr>
              <w:spacing w:after="0" w:line="240" w:lineRule="auto"/>
              <w:rPr>
                <w:b/>
              </w:rPr>
            </w:pPr>
            <w:r>
              <w:rPr>
                <w:b/>
              </w:rPr>
              <w:t>Legislation</w:t>
            </w:r>
            <w:r w:rsidR="00707856">
              <w:rPr>
                <w:b/>
              </w:rPr>
              <w:t>:</w:t>
            </w:r>
          </w:p>
          <w:p w14:paraId="5E9A5E74" w14:textId="77777777" w:rsidR="008B4EC8" w:rsidRDefault="008B4EC8" w:rsidP="004F46C2">
            <w:pPr>
              <w:spacing w:after="0" w:line="240" w:lineRule="auto"/>
              <w:rPr>
                <w:b/>
              </w:rPr>
            </w:pPr>
          </w:p>
          <w:p w14:paraId="63267383" w14:textId="77777777" w:rsidR="008B4EC8" w:rsidRDefault="008B4EC8" w:rsidP="004F46C2">
            <w:pPr>
              <w:spacing w:after="0" w:line="240" w:lineRule="auto"/>
              <w:rPr>
                <w:b/>
              </w:rPr>
            </w:pPr>
          </w:p>
          <w:p w14:paraId="552A4D98" w14:textId="77777777" w:rsidR="008B4EC8" w:rsidRDefault="008B4EC8" w:rsidP="004F46C2">
            <w:pPr>
              <w:spacing w:after="0" w:line="240" w:lineRule="auto"/>
              <w:rPr>
                <w:b/>
              </w:rPr>
            </w:pPr>
          </w:p>
          <w:p w14:paraId="52EF945D" w14:textId="77777777" w:rsidR="00497D1F" w:rsidRDefault="00497D1F" w:rsidP="004F46C2">
            <w:pPr>
              <w:spacing w:after="0" w:line="240" w:lineRule="auto"/>
              <w:rPr>
                <w:b/>
              </w:rPr>
            </w:pPr>
          </w:p>
          <w:p w14:paraId="4C1B8CF3" w14:textId="77777777" w:rsidR="00497D1F" w:rsidRDefault="00497D1F" w:rsidP="004F46C2">
            <w:pPr>
              <w:spacing w:after="0" w:line="240" w:lineRule="auto"/>
              <w:rPr>
                <w:b/>
              </w:rPr>
            </w:pPr>
          </w:p>
          <w:p w14:paraId="57FB25F6" w14:textId="2E401C98" w:rsidR="008B4EC8" w:rsidDel="00C23D39" w:rsidRDefault="008B4EC8" w:rsidP="004F46C2">
            <w:pPr>
              <w:spacing w:after="0" w:line="240" w:lineRule="auto"/>
              <w:rPr>
                <w:rFonts w:cs="Arial"/>
                <w:b/>
                <w:bCs/>
              </w:rPr>
            </w:pPr>
            <w:r w:rsidRPr="00450066">
              <w:rPr>
                <w:b/>
              </w:rPr>
              <w:t>Definitions</w:t>
            </w:r>
            <w:r w:rsidR="00707856">
              <w:rPr>
                <w:b/>
              </w:rPr>
              <w:t>:</w:t>
            </w:r>
          </w:p>
          <w:p w14:paraId="58EC267B" w14:textId="77777777" w:rsidR="008B4EC8" w:rsidRDefault="008B4EC8" w:rsidP="004F46C2">
            <w:pPr>
              <w:spacing w:after="0" w:line="240" w:lineRule="auto"/>
              <w:rPr>
                <w:rFonts w:eastAsia="Times New Roman" w:cs="Times New Roman"/>
                <w:b/>
              </w:rPr>
            </w:pPr>
          </w:p>
          <w:p w14:paraId="768D2DE6" w14:textId="77777777" w:rsidR="008B4EC8" w:rsidRDefault="008B4EC8" w:rsidP="004F46C2">
            <w:pPr>
              <w:spacing w:after="0" w:line="240" w:lineRule="auto"/>
              <w:rPr>
                <w:rFonts w:eastAsia="Times New Roman" w:cs="Times New Roman"/>
                <w:b/>
              </w:rPr>
            </w:pPr>
          </w:p>
          <w:p w14:paraId="2126BC01" w14:textId="77777777" w:rsidR="008B4EC8" w:rsidRDefault="008B4EC8" w:rsidP="004F46C2">
            <w:pPr>
              <w:spacing w:after="0" w:line="240" w:lineRule="auto"/>
              <w:rPr>
                <w:rFonts w:eastAsia="Times New Roman" w:cs="Times New Roman"/>
                <w:b/>
              </w:rPr>
            </w:pPr>
          </w:p>
          <w:p w14:paraId="6607381F" w14:textId="77777777" w:rsidR="008B4EC8" w:rsidRDefault="008B4EC8" w:rsidP="004F46C2">
            <w:pPr>
              <w:spacing w:after="0" w:line="240" w:lineRule="auto"/>
              <w:rPr>
                <w:rFonts w:eastAsia="Times New Roman" w:cs="Times New Roman"/>
                <w:b/>
              </w:rPr>
            </w:pPr>
          </w:p>
          <w:p w14:paraId="3E00DB39" w14:textId="77777777" w:rsidR="00497D1F" w:rsidRDefault="00497D1F" w:rsidP="004F46C2">
            <w:pPr>
              <w:spacing w:after="0" w:line="240" w:lineRule="auto"/>
              <w:rPr>
                <w:rFonts w:eastAsia="Times New Roman" w:cs="Times New Roman"/>
                <w:b/>
              </w:rPr>
            </w:pPr>
          </w:p>
          <w:p w14:paraId="41E6EB01" w14:textId="77777777" w:rsidR="00497D1F" w:rsidRDefault="00497D1F" w:rsidP="004F46C2">
            <w:pPr>
              <w:spacing w:after="0" w:line="240" w:lineRule="auto"/>
              <w:rPr>
                <w:rFonts w:eastAsia="Times New Roman" w:cs="Times New Roman"/>
                <w:b/>
              </w:rPr>
            </w:pPr>
          </w:p>
          <w:p w14:paraId="52D26246" w14:textId="77777777" w:rsidR="00497D1F" w:rsidRDefault="00497D1F" w:rsidP="004F46C2">
            <w:pPr>
              <w:spacing w:after="0" w:line="240" w:lineRule="auto"/>
              <w:rPr>
                <w:rFonts w:eastAsia="Times New Roman" w:cs="Times New Roman"/>
                <w:b/>
              </w:rPr>
            </w:pPr>
          </w:p>
          <w:p w14:paraId="6C10FA42" w14:textId="77777777" w:rsidR="00410FAB" w:rsidRDefault="00410FAB" w:rsidP="004F46C2">
            <w:pPr>
              <w:spacing w:after="0" w:line="240" w:lineRule="auto"/>
              <w:rPr>
                <w:rFonts w:eastAsia="Times New Roman" w:cs="Times New Roman"/>
                <w:b/>
              </w:rPr>
            </w:pPr>
          </w:p>
          <w:p w14:paraId="625DA638" w14:textId="31819EA2" w:rsidR="008B4EC8" w:rsidRPr="00C23D39" w:rsidRDefault="008B4EC8" w:rsidP="004F46C2">
            <w:pPr>
              <w:spacing w:after="0" w:line="240" w:lineRule="auto"/>
              <w:rPr>
                <w:b/>
              </w:rPr>
            </w:pPr>
            <w:r>
              <w:rPr>
                <w:rFonts w:eastAsia="Times New Roman" w:cs="Times New Roman"/>
                <w:b/>
              </w:rPr>
              <w:t>Scope</w:t>
            </w:r>
            <w:r w:rsidR="00707856">
              <w:rPr>
                <w:rFonts w:eastAsia="Times New Roman" w:cs="Times New Roman"/>
                <w:b/>
              </w:rPr>
              <w:t>:</w:t>
            </w:r>
          </w:p>
        </w:tc>
        <w:tc>
          <w:tcPr>
            <w:tcW w:w="9447" w:type="dxa"/>
            <w:gridSpan w:val="4"/>
          </w:tcPr>
          <w:p w14:paraId="3DBE9014" w14:textId="77777777" w:rsidR="008B4EC8" w:rsidRDefault="008B4EC8" w:rsidP="004F46C2">
            <w:pPr>
              <w:spacing w:after="0" w:line="240" w:lineRule="auto"/>
            </w:pPr>
          </w:p>
          <w:p w14:paraId="52AA3205" w14:textId="77777777" w:rsidR="008B4EC8" w:rsidRDefault="008B4EC8" w:rsidP="004F46C2">
            <w:pPr>
              <w:spacing w:after="0" w:line="240" w:lineRule="auto"/>
            </w:pPr>
            <w:r w:rsidRPr="00C23D39">
              <w:t>The European Union (Prevention of Sharps Injuries in the Healthcare Sector) Regulations, 2014 - the Safety, Health and Welfare at Work Act, 2005 and the Safety, Health and Welfare at Work (Biological Agents) Regulations, 2013.</w:t>
            </w:r>
          </w:p>
          <w:p w14:paraId="664DD317" w14:textId="77777777" w:rsidR="00497D1F" w:rsidRPr="00C23D39" w:rsidRDefault="00497D1F" w:rsidP="004F46C2">
            <w:pPr>
              <w:spacing w:after="0" w:line="240" w:lineRule="auto"/>
            </w:pPr>
          </w:p>
          <w:p w14:paraId="52A7FB10" w14:textId="77777777" w:rsidR="008B4EC8" w:rsidRPr="004A6969" w:rsidRDefault="008B4EC8" w:rsidP="004F46C2">
            <w:pPr>
              <w:spacing w:after="0" w:line="240" w:lineRule="auto"/>
              <w:rPr>
                <w:b/>
              </w:rPr>
            </w:pPr>
            <w:r w:rsidRPr="00C23D39">
              <w:t>Safety, Health and Welfare at Work (General Application) Regulations, 2007, Regulation 2</w:t>
            </w:r>
          </w:p>
        </w:tc>
      </w:tr>
      <w:tr w:rsidR="008B4EC8" w:rsidRPr="00B26179" w14:paraId="375927A4" w14:textId="77777777" w:rsidTr="00450066">
        <w:tblPrEx>
          <w:tblLook w:val="01E0" w:firstRow="1" w:lastRow="1" w:firstColumn="1" w:lastColumn="1" w:noHBand="0" w:noVBand="0"/>
        </w:tblPrEx>
        <w:trPr>
          <w:trHeight w:val="1570"/>
        </w:trPr>
        <w:tc>
          <w:tcPr>
            <w:tcW w:w="1611" w:type="dxa"/>
            <w:vMerge/>
          </w:tcPr>
          <w:p w14:paraId="616DD7A6" w14:textId="77777777" w:rsidR="008B4EC8" w:rsidDel="00C23D39" w:rsidRDefault="008B4EC8" w:rsidP="004F46C2">
            <w:pPr>
              <w:spacing w:after="0" w:line="240" w:lineRule="auto"/>
              <w:rPr>
                <w:rFonts w:cs="Arial"/>
                <w:b/>
                <w:bCs/>
              </w:rPr>
            </w:pPr>
          </w:p>
        </w:tc>
        <w:tc>
          <w:tcPr>
            <w:tcW w:w="9447" w:type="dxa"/>
            <w:gridSpan w:val="4"/>
          </w:tcPr>
          <w:p w14:paraId="4DF6F0DE" w14:textId="77777777" w:rsidR="008B4EC8" w:rsidRDefault="008B4EC8" w:rsidP="004F46C2">
            <w:pPr>
              <w:spacing w:after="0" w:line="240" w:lineRule="auto"/>
              <w:rPr>
                <w:i/>
              </w:rPr>
            </w:pPr>
            <w:r w:rsidRPr="00813C33">
              <w:rPr>
                <w:i/>
              </w:rPr>
              <w:t>Sharps are objects or instruments necessary for the exercise of specific healthcare activities, which are able to cut, prick, and cause injury and/or infection. E.g. scalpels, needles, cannula and trocar, etc. Sharps are considered to be work equipment within the meaning of Regulation 2 of the Safety, Health and Welfare at Work (General Application) Regulations, 2007.</w:t>
            </w:r>
          </w:p>
          <w:p w14:paraId="15834E44" w14:textId="77777777" w:rsidR="00497D1F" w:rsidRPr="00813C33" w:rsidRDefault="00497D1F" w:rsidP="004F46C2">
            <w:pPr>
              <w:spacing w:after="0" w:line="240" w:lineRule="auto"/>
              <w:rPr>
                <w:i/>
              </w:rPr>
            </w:pPr>
          </w:p>
          <w:p w14:paraId="695E4378" w14:textId="56209DA8" w:rsidR="008B4EC8" w:rsidRDefault="008B4EC8" w:rsidP="004F46C2">
            <w:pPr>
              <w:spacing w:after="0" w:line="240" w:lineRule="auto"/>
              <w:rPr>
                <w:i/>
              </w:rPr>
            </w:pPr>
            <w:r w:rsidRPr="00813C33">
              <w:rPr>
                <w:i/>
              </w:rPr>
              <w:t>(Ref</w:t>
            </w:r>
            <w:r w:rsidRPr="00B60FE5">
              <w:rPr>
                <w:i/>
              </w:rPr>
              <w:t xml:space="preserve">: </w:t>
            </w:r>
            <w:hyperlink r:id="rId11" w:history="1">
              <w:r w:rsidRPr="00B60FE5">
                <w:rPr>
                  <w:rStyle w:val="Hyperlink"/>
                  <w:i/>
                </w:rPr>
                <w:t xml:space="preserve">HSE Policy on the Prevention of Sharps </w:t>
              </w:r>
              <w:r w:rsidR="00176823" w:rsidRPr="00B60FE5">
                <w:rPr>
                  <w:rStyle w:val="Hyperlink"/>
                  <w:i/>
                </w:rPr>
                <w:t>Injuries</w:t>
              </w:r>
            </w:hyperlink>
            <w:r w:rsidRPr="00813C33">
              <w:rPr>
                <w:i/>
              </w:rPr>
              <w:t>)</w:t>
            </w:r>
          </w:p>
          <w:p w14:paraId="604F3858" w14:textId="77777777" w:rsidR="00497D1F" w:rsidRPr="00813C33" w:rsidRDefault="00497D1F" w:rsidP="004F46C2">
            <w:pPr>
              <w:spacing w:after="0" w:line="240" w:lineRule="auto"/>
              <w:rPr>
                <w:i/>
              </w:rPr>
            </w:pPr>
          </w:p>
          <w:p w14:paraId="282F2785" w14:textId="783A5964" w:rsidR="008B4EC8" w:rsidRDefault="003B2CFB" w:rsidP="00B60FE5">
            <w:pPr>
              <w:spacing w:after="0" w:line="240" w:lineRule="auto"/>
            </w:pPr>
            <w:r>
              <w:t xml:space="preserve">For further information </w:t>
            </w:r>
            <w:r w:rsidR="00176823">
              <w:t xml:space="preserve">please refer to the </w:t>
            </w:r>
            <w:hyperlink r:id="rId12" w:history="1">
              <w:r w:rsidR="00B60FE5" w:rsidRPr="00B60FE5">
                <w:rPr>
                  <w:rStyle w:val="Hyperlink"/>
                </w:rPr>
                <w:t>Safe use of sharps</w:t>
              </w:r>
            </w:hyperlink>
            <w:r w:rsidR="00B60FE5">
              <w:t xml:space="preserve"> webpage.</w:t>
            </w:r>
          </w:p>
          <w:p w14:paraId="5A317B6F" w14:textId="1E75CC66" w:rsidR="00B60FE5" w:rsidRPr="00C23D39" w:rsidDel="00C23D39" w:rsidRDefault="00B60FE5" w:rsidP="00B60FE5">
            <w:pPr>
              <w:spacing w:after="0" w:line="240" w:lineRule="auto"/>
            </w:pPr>
          </w:p>
        </w:tc>
      </w:tr>
      <w:tr w:rsidR="008B4EC8" w:rsidRPr="00B26179" w14:paraId="5935B87E" w14:textId="77777777" w:rsidTr="00C23D39">
        <w:tblPrEx>
          <w:tblLook w:val="01E0" w:firstRow="1" w:lastRow="1" w:firstColumn="1" w:lastColumn="1" w:noHBand="0" w:noVBand="0"/>
        </w:tblPrEx>
        <w:trPr>
          <w:trHeight w:val="804"/>
        </w:trPr>
        <w:tc>
          <w:tcPr>
            <w:tcW w:w="1611" w:type="dxa"/>
            <w:vMerge/>
          </w:tcPr>
          <w:p w14:paraId="7252A201" w14:textId="340BD137" w:rsidR="008B4EC8" w:rsidRPr="00C23D39" w:rsidDel="00C23D39" w:rsidRDefault="008B4EC8" w:rsidP="004F46C2">
            <w:pPr>
              <w:spacing w:after="0" w:line="240" w:lineRule="auto"/>
              <w:rPr>
                <w:rFonts w:cs="Arial"/>
                <w:b/>
                <w:bCs/>
              </w:rPr>
            </w:pPr>
          </w:p>
        </w:tc>
        <w:tc>
          <w:tcPr>
            <w:tcW w:w="9447" w:type="dxa"/>
            <w:gridSpan w:val="4"/>
          </w:tcPr>
          <w:p w14:paraId="671E01FD" w14:textId="77777777" w:rsidR="008B4EC8" w:rsidRDefault="008B4EC8" w:rsidP="004F46C2">
            <w:pPr>
              <w:spacing w:after="0" w:line="240" w:lineRule="auto"/>
            </w:pPr>
            <w:r w:rsidRPr="00C23D39">
              <w:rPr>
                <w:rFonts w:eastAsia="Times New Roman" w:cs="Times New Roman"/>
              </w:rPr>
              <w:t>T</w:t>
            </w:r>
            <w:r w:rsidRPr="00C23D39">
              <w:rPr>
                <w:rFonts w:eastAsiaTheme="minorHAnsi" w:cs="Helv"/>
                <w:color w:val="000000"/>
                <w:lang w:eastAsia="en-US"/>
              </w:rPr>
              <w:t xml:space="preserve">he following is a non-exhaustive list of prompts relevant to the hazard </w:t>
            </w:r>
            <w:r w:rsidRPr="00C23D39">
              <w:rPr>
                <w:rFonts w:eastAsia="Times New Roman" w:cs="Times New Roman"/>
              </w:rPr>
              <w:t xml:space="preserve">which </w:t>
            </w:r>
            <w:r w:rsidRPr="00C23D39">
              <w:t>should be considered in assessing and controlling the risk associated with Use of Sharps.</w:t>
            </w:r>
            <w:r>
              <w:t xml:space="preserve"> </w:t>
            </w:r>
          </w:p>
          <w:p w14:paraId="053F2A0B" w14:textId="77777777" w:rsidR="00497D1F" w:rsidRDefault="00497D1F" w:rsidP="004F46C2">
            <w:pPr>
              <w:spacing w:after="0" w:line="240" w:lineRule="auto"/>
            </w:pPr>
          </w:p>
          <w:p w14:paraId="633CA762" w14:textId="30AEB107" w:rsidR="008B4EC8" w:rsidRDefault="008B4EC8" w:rsidP="004F46C2">
            <w:pPr>
              <w:spacing w:after="0" w:line="240" w:lineRule="auto"/>
            </w:pPr>
            <w:r>
              <w:t xml:space="preserve">All control measures must be documented on the appropriate risk assessment form. </w:t>
            </w:r>
          </w:p>
          <w:p w14:paraId="38CA1A48" w14:textId="77777777" w:rsidR="00D11E03" w:rsidRDefault="00D11E03" w:rsidP="004F46C2">
            <w:pPr>
              <w:spacing w:after="0" w:line="240" w:lineRule="auto"/>
            </w:pPr>
          </w:p>
          <w:p w14:paraId="28EE4E11" w14:textId="0D7BD828" w:rsidR="0050639A" w:rsidRPr="00C23D39" w:rsidDel="00C23D39" w:rsidRDefault="0050639A" w:rsidP="004F46C2">
            <w:pPr>
              <w:spacing w:after="0" w:line="240" w:lineRule="auto"/>
            </w:pPr>
            <w:r>
              <w:t xml:space="preserve">For further guidance on undertaking workplace Occupational Safety Health (OSH) Risk Assessments which are compliant with Section 19, of the Safety, Health and Welfare at Work Act, 2005 and associated legislation please refer to </w:t>
            </w:r>
            <w:hyperlink r:id="rId13" w:history="1">
              <w:r>
                <w:rPr>
                  <w:rStyle w:val="Hyperlink"/>
                  <w:i/>
                </w:rPr>
                <w:t>Guideline RE: Completion of Occupational Safety and Health Risk Assessments</w:t>
              </w:r>
            </w:hyperlink>
            <w:bookmarkStart w:id="0" w:name="_GoBack"/>
            <w:bookmarkEnd w:id="0"/>
          </w:p>
        </w:tc>
      </w:tr>
    </w:tbl>
    <w:p w14:paraId="7CF39D33" w14:textId="77777777" w:rsidR="003C70ED" w:rsidRDefault="003C70ED"/>
    <w:tbl>
      <w:tblPr>
        <w:tblStyle w:val="TableGrid"/>
        <w:tblpPr w:leftFromText="180" w:rightFromText="180" w:vertAnchor="text" w:horzAnchor="margin" w:tblpXSpec="center" w:tblpY="53"/>
        <w:tblW w:w="11058" w:type="dxa"/>
        <w:tblLook w:val="04A0" w:firstRow="1" w:lastRow="0" w:firstColumn="1" w:lastColumn="0" w:noHBand="0" w:noVBand="1"/>
      </w:tblPr>
      <w:tblGrid>
        <w:gridCol w:w="709"/>
        <w:gridCol w:w="7514"/>
        <w:gridCol w:w="850"/>
        <w:gridCol w:w="992"/>
        <w:gridCol w:w="993"/>
      </w:tblGrid>
      <w:tr w:rsidR="003C70ED" w:rsidRPr="00987F69" w14:paraId="509BB841" w14:textId="77777777" w:rsidTr="00497D1F">
        <w:tc>
          <w:tcPr>
            <w:tcW w:w="709" w:type="dxa"/>
            <w:shd w:val="clear" w:color="auto" w:fill="F2F2F2" w:themeFill="background1" w:themeFillShade="F2"/>
          </w:tcPr>
          <w:p w14:paraId="28E2AF28" w14:textId="77777777" w:rsidR="003C70ED" w:rsidRPr="00987F69" w:rsidRDefault="003C70ED" w:rsidP="003C3C71">
            <w:pPr>
              <w:rPr>
                <w:b/>
                <w:color w:val="FF0000"/>
                <w:sz w:val="24"/>
                <w:szCs w:val="24"/>
              </w:rPr>
            </w:pPr>
            <w:r w:rsidRPr="00987F69">
              <w:rPr>
                <w:b/>
                <w:color w:val="FF0000"/>
                <w:sz w:val="24"/>
                <w:szCs w:val="24"/>
              </w:rPr>
              <w:t>No.</w:t>
            </w:r>
          </w:p>
        </w:tc>
        <w:tc>
          <w:tcPr>
            <w:tcW w:w="7514" w:type="dxa"/>
            <w:shd w:val="clear" w:color="auto" w:fill="F2F2F2" w:themeFill="background1" w:themeFillShade="F2"/>
          </w:tcPr>
          <w:p w14:paraId="1B664E4D" w14:textId="77777777" w:rsidR="003C70ED" w:rsidRPr="00987F69" w:rsidRDefault="003C70ED" w:rsidP="003C3C71">
            <w:pPr>
              <w:jc w:val="center"/>
              <w:rPr>
                <w:b/>
                <w:color w:val="FF0000"/>
                <w:sz w:val="24"/>
                <w:szCs w:val="24"/>
              </w:rPr>
            </w:pPr>
            <w:r w:rsidRPr="00987F69">
              <w:rPr>
                <w:b/>
                <w:color w:val="FF0000"/>
                <w:sz w:val="24"/>
                <w:szCs w:val="24"/>
              </w:rPr>
              <w:t xml:space="preserve">Hazard controls to be considered when carrying out your risk assessment </w:t>
            </w:r>
          </w:p>
        </w:tc>
        <w:tc>
          <w:tcPr>
            <w:tcW w:w="850" w:type="dxa"/>
            <w:shd w:val="clear" w:color="auto" w:fill="F2F2F2" w:themeFill="background1" w:themeFillShade="F2"/>
          </w:tcPr>
          <w:p w14:paraId="3ED69F5D" w14:textId="77777777" w:rsidR="003C70ED" w:rsidRPr="00987F69" w:rsidRDefault="003C70ED" w:rsidP="003C3C71">
            <w:pPr>
              <w:rPr>
                <w:b/>
                <w:color w:val="FF0000"/>
                <w:sz w:val="24"/>
                <w:szCs w:val="24"/>
              </w:rPr>
            </w:pPr>
            <w:r w:rsidRPr="00987F69">
              <w:rPr>
                <w:b/>
                <w:color w:val="FF0000"/>
                <w:sz w:val="24"/>
                <w:szCs w:val="24"/>
              </w:rPr>
              <w:t>Yes</w:t>
            </w:r>
          </w:p>
        </w:tc>
        <w:tc>
          <w:tcPr>
            <w:tcW w:w="992" w:type="dxa"/>
            <w:shd w:val="clear" w:color="auto" w:fill="F2F2F2" w:themeFill="background1" w:themeFillShade="F2"/>
          </w:tcPr>
          <w:p w14:paraId="4AAC7FE3" w14:textId="77777777" w:rsidR="003C70ED" w:rsidRPr="00987F69" w:rsidRDefault="003C70ED" w:rsidP="003C3C71">
            <w:pPr>
              <w:rPr>
                <w:b/>
                <w:color w:val="FF0000"/>
                <w:sz w:val="24"/>
                <w:szCs w:val="24"/>
              </w:rPr>
            </w:pPr>
            <w:r w:rsidRPr="00987F69">
              <w:rPr>
                <w:b/>
                <w:color w:val="FF0000"/>
                <w:sz w:val="24"/>
                <w:szCs w:val="24"/>
              </w:rPr>
              <w:t>No</w:t>
            </w:r>
          </w:p>
        </w:tc>
        <w:tc>
          <w:tcPr>
            <w:tcW w:w="993" w:type="dxa"/>
            <w:shd w:val="clear" w:color="auto" w:fill="F2F2F2" w:themeFill="background1" w:themeFillShade="F2"/>
          </w:tcPr>
          <w:p w14:paraId="56B2FDC8" w14:textId="77777777" w:rsidR="003C70ED" w:rsidRDefault="003C70ED" w:rsidP="003C3C71">
            <w:pPr>
              <w:rPr>
                <w:b/>
                <w:color w:val="FF0000"/>
                <w:sz w:val="24"/>
                <w:szCs w:val="24"/>
              </w:rPr>
            </w:pPr>
            <w:r w:rsidRPr="00987F69">
              <w:rPr>
                <w:b/>
                <w:color w:val="FF0000"/>
                <w:sz w:val="24"/>
                <w:szCs w:val="24"/>
              </w:rPr>
              <w:t>N/A</w:t>
            </w:r>
          </w:p>
          <w:p w14:paraId="2BBEC516" w14:textId="77777777" w:rsidR="003C70ED" w:rsidRPr="00987F69" w:rsidRDefault="003C70ED" w:rsidP="003C3C71">
            <w:pPr>
              <w:rPr>
                <w:b/>
                <w:color w:val="FF0000"/>
                <w:sz w:val="24"/>
                <w:szCs w:val="24"/>
              </w:rPr>
            </w:pPr>
          </w:p>
        </w:tc>
      </w:tr>
      <w:tr w:rsidR="00E9123A" w:rsidRPr="00987F69" w14:paraId="52E05F1F" w14:textId="77777777" w:rsidTr="003C3C71">
        <w:tc>
          <w:tcPr>
            <w:tcW w:w="709" w:type="dxa"/>
          </w:tcPr>
          <w:p w14:paraId="00F87899" w14:textId="77777777" w:rsidR="00E9123A" w:rsidRPr="00C1090C" w:rsidRDefault="00E9123A" w:rsidP="003C3C71">
            <w:pPr>
              <w:rPr>
                <w:b/>
                <w:sz w:val="20"/>
                <w:szCs w:val="20"/>
              </w:rPr>
            </w:pPr>
            <w:r>
              <w:rPr>
                <w:b/>
                <w:sz w:val="20"/>
                <w:szCs w:val="20"/>
              </w:rPr>
              <w:t>1</w:t>
            </w:r>
          </w:p>
        </w:tc>
        <w:tc>
          <w:tcPr>
            <w:tcW w:w="7514" w:type="dxa"/>
          </w:tcPr>
          <w:p w14:paraId="57373709" w14:textId="77777777" w:rsidR="00E9123A" w:rsidRDefault="00E9123A" w:rsidP="0050639A">
            <w:r>
              <w:t>Is the HSE Policy on the Prev</w:t>
            </w:r>
            <w:r w:rsidR="003C3C71">
              <w:t xml:space="preserve">ention of Sharps Injuries </w:t>
            </w:r>
            <w:r>
              <w:t>available to staff?</w:t>
            </w:r>
          </w:p>
        </w:tc>
        <w:tc>
          <w:tcPr>
            <w:tcW w:w="850" w:type="dxa"/>
          </w:tcPr>
          <w:p w14:paraId="7C47299C" w14:textId="77777777" w:rsidR="00E9123A" w:rsidRPr="00987F69" w:rsidRDefault="00E9123A" w:rsidP="003C3C71">
            <w:pPr>
              <w:rPr>
                <w:b/>
                <w:color w:val="FF0000"/>
                <w:sz w:val="24"/>
                <w:szCs w:val="24"/>
              </w:rPr>
            </w:pPr>
          </w:p>
        </w:tc>
        <w:tc>
          <w:tcPr>
            <w:tcW w:w="992" w:type="dxa"/>
          </w:tcPr>
          <w:p w14:paraId="51144D11" w14:textId="77777777" w:rsidR="00E9123A" w:rsidRPr="00987F69" w:rsidRDefault="00E9123A" w:rsidP="003C3C71">
            <w:pPr>
              <w:rPr>
                <w:b/>
                <w:color w:val="FF0000"/>
                <w:sz w:val="24"/>
                <w:szCs w:val="24"/>
              </w:rPr>
            </w:pPr>
          </w:p>
        </w:tc>
        <w:tc>
          <w:tcPr>
            <w:tcW w:w="993" w:type="dxa"/>
          </w:tcPr>
          <w:p w14:paraId="12DD67B6" w14:textId="77777777" w:rsidR="00E9123A" w:rsidRPr="00987F69" w:rsidRDefault="00E9123A" w:rsidP="003C3C71">
            <w:pPr>
              <w:rPr>
                <w:b/>
                <w:color w:val="FF0000"/>
                <w:sz w:val="24"/>
                <w:szCs w:val="24"/>
              </w:rPr>
            </w:pPr>
          </w:p>
        </w:tc>
      </w:tr>
      <w:tr w:rsidR="003C70ED" w:rsidRPr="00987F69" w14:paraId="5F858FD0" w14:textId="77777777" w:rsidTr="003C3C71">
        <w:tc>
          <w:tcPr>
            <w:tcW w:w="709" w:type="dxa"/>
          </w:tcPr>
          <w:p w14:paraId="04AE1656" w14:textId="77777777" w:rsidR="003C70ED" w:rsidRPr="00C1090C" w:rsidRDefault="00E9123A" w:rsidP="003C3C71">
            <w:pPr>
              <w:rPr>
                <w:b/>
                <w:sz w:val="20"/>
                <w:szCs w:val="20"/>
              </w:rPr>
            </w:pPr>
            <w:r>
              <w:rPr>
                <w:b/>
                <w:sz w:val="20"/>
                <w:szCs w:val="20"/>
              </w:rPr>
              <w:t>2</w:t>
            </w:r>
          </w:p>
        </w:tc>
        <w:tc>
          <w:tcPr>
            <w:tcW w:w="7514" w:type="dxa"/>
          </w:tcPr>
          <w:p w14:paraId="259B8E33" w14:textId="6222F50C" w:rsidR="003C70ED" w:rsidRDefault="003C70ED" w:rsidP="0050639A">
            <w:r>
              <w:t>Has consideration been given to the unnecessary use of sharps by reviewing and implementing changes in practice</w:t>
            </w:r>
            <w:r w:rsidR="001322FC">
              <w:t>?</w:t>
            </w:r>
            <w:r>
              <w:t xml:space="preserve"> </w:t>
            </w:r>
            <w:r w:rsidR="001322FC">
              <w:t>Examples to include</w:t>
            </w:r>
            <w:r>
              <w:t xml:space="preserve"> the introduction of needle</w:t>
            </w:r>
            <w:r w:rsidR="0050639A">
              <w:t>le</w:t>
            </w:r>
            <w:r>
              <w:t>ss intravenous systems / needle free connectors; eliminating unnecessary injections</w:t>
            </w:r>
            <w:r w:rsidR="0011060D">
              <w:t xml:space="preserve">, </w:t>
            </w:r>
            <w:r w:rsidR="00575E47">
              <w:t>etc.</w:t>
            </w:r>
          </w:p>
        </w:tc>
        <w:tc>
          <w:tcPr>
            <w:tcW w:w="850" w:type="dxa"/>
          </w:tcPr>
          <w:p w14:paraId="5BAB13C4" w14:textId="77777777" w:rsidR="003C70ED" w:rsidRPr="00987F69" w:rsidRDefault="003C70ED" w:rsidP="003C3C71">
            <w:pPr>
              <w:rPr>
                <w:b/>
                <w:color w:val="FF0000"/>
                <w:sz w:val="24"/>
                <w:szCs w:val="24"/>
              </w:rPr>
            </w:pPr>
          </w:p>
        </w:tc>
        <w:tc>
          <w:tcPr>
            <w:tcW w:w="992" w:type="dxa"/>
          </w:tcPr>
          <w:p w14:paraId="4D222CDB" w14:textId="77777777" w:rsidR="003C70ED" w:rsidRPr="00987F69" w:rsidRDefault="003C70ED" w:rsidP="003C3C71">
            <w:pPr>
              <w:rPr>
                <w:b/>
                <w:color w:val="FF0000"/>
                <w:sz w:val="24"/>
                <w:szCs w:val="24"/>
              </w:rPr>
            </w:pPr>
          </w:p>
        </w:tc>
        <w:tc>
          <w:tcPr>
            <w:tcW w:w="993" w:type="dxa"/>
          </w:tcPr>
          <w:p w14:paraId="331FA18E" w14:textId="77777777" w:rsidR="003C70ED" w:rsidRPr="00987F69" w:rsidRDefault="003C70ED" w:rsidP="003C3C71">
            <w:pPr>
              <w:rPr>
                <w:b/>
                <w:color w:val="FF0000"/>
                <w:sz w:val="24"/>
                <w:szCs w:val="24"/>
              </w:rPr>
            </w:pPr>
          </w:p>
        </w:tc>
      </w:tr>
      <w:tr w:rsidR="003C70ED" w:rsidRPr="00987F69" w14:paraId="7A6AB2C5" w14:textId="77777777" w:rsidTr="003C3C71">
        <w:tc>
          <w:tcPr>
            <w:tcW w:w="709" w:type="dxa"/>
          </w:tcPr>
          <w:p w14:paraId="21EB067D" w14:textId="77777777" w:rsidR="003C70ED" w:rsidRPr="00C1090C" w:rsidRDefault="00E9123A" w:rsidP="003C3C71">
            <w:pPr>
              <w:rPr>
                <w:b/>
                <w:sz w:val="20"/>
                <w:szCs w:val="20"/>
              </w:rPr>
            </w:pPr>
            <w:r>
              <w:rPr>
                <w:b/>
                <w:sz w:val="20"/>
                <w:szCs w:val="20"/>
              </w:rPr>
              <w:t>3</w:t>
            </w:r>
          </w:p>
        </w:tc>
        <w:tc>
          <w:tcPr>
            <w:tcW w:w="7514" w:type="dxa"/>
          </w:tcPr>
          <w:p w14:paraId="5064C0C7" w14:textId="77777777" w:rsidR="003C70ED" w:rsidRPr="003C3C71" w:rsidRDefault="003C70ED" w:rsidP="0050639A">
            <w:pPr>
              <w:autoSpaceDE w:val="0"/>
              <w:autoSpaceDN w:val="0"/>
              <w:adjustRightInd w:val="0"/>
              <w:rPr>
                <w:bCs/>
                <w:iCs/>
              </w:rPr>
            </w:pPr>
            <w:r>
              <w:t xml:space="preserve">Are </w:t>
            </w:r>
            <w:r w:rsidR="0042684E">
              <w:t>s</w:t>
            </w:r>
            <w:r>
              <w:t xml:space="preserve">afety engineered devices used </w:t>
            </w:r>
            <w:r w:rsidR="0031781C" w:rsidRPr="0031781C">
              <w:rPr>
                <w:rFonts w:cstheme="minorHAnsi"/>
              </w:rPr>
              <w:t>where available and appropriate and it is reasonably practicable to do so</w:t>
            </w:r>
            <w:r w:rsidR="0031781C">
              <w:rPr>
                <w:rFonts w:cstheme="minorHAnsi"/>
              </w:rPr>
              <w:t>?</w:t>
            </w:r>
          </w:p>
        </w:tc>
        <w:tc>
          <w:tcPr>
            <w:tcW w:w="850" w:type="dxa"/>
          </w:tcPr>
          <w:p w14:paraId="44446431" w14:textId="77777777" w:rsidR="003C70ED" w:rsidRPr="00987F69" w:rsidRDefault="003C70ED" w:rsidP="003C3C71">
            <w:pPr>
              <w:rPr>
                <w:b/>
                <w:color w:val="FF0000"/>
                <w:sz w:val="24"/>
                <w:szCs w:val="24"/>
              </w:rPr>
            </w:pPr>
          </w:p>
        </w:tc>
        <w:tc>
          <w:tcPr>
            <w:tcW w:w="992" w:type="dxa"/>
          </w:tcPr>
          <w:p w14:paraId="0EC473BC" w14:textId="77777777" w:rsidR="003C70ED" w:rsidRPr="00987F69" w:rsidRDefault="003C70ED" w:rsidP="003C3C71">
            <w:pPr>
              <w:rPr>
                <w:b/>
                <w:color w:val="FF0000"/>
                <w:sz w:val="24"/>
                <w:szCs w:val="24"/>
              </w:rPr>
            </w:pPr>
          </w:p>
        </w:tc>
        <w:tc>
          <w:tcPr>
            <w:tcW w:w="993" w:type="dxa"/>
          </w:tcPr>
          <w:p w14:paraId="2198B529" w14:textId="77777777" w:rsidR="003C70ED" w:rsidRPr="00987F69" w:rsidRDefault="003C70ED" w:rsidP="003C3C71">
            <w:pPr>
              <w:rPr>
                <w:b/>
                <w:color w:val="FF0000"/>
                <w:sz w:val="24"/>
                <w:szCs w:val="24"/>
              </w:rPr>
            </w:pPr>
          </w:p>
        </w:tc>
      </w:tr>
      <w:tr w:rsidR="003C70ED" w:rsidRPr="00987F69" w14:paraId="224F7E68" w14:textId="77777777" w:rsidTr="003C3C71">
        <w:tc>
          <w:tcPr>
            <w:tcW w:w="709" w:type="dxa"/>
          </w:tcPr>
          <w:p w14:paraId="6A591757" w14:textId="77777777" w:rsidR="003C70ED" w:rsidRPr="00C1090C" w:rsidRDefault="00E9123A" w:rsidP="003C3C71">
            <w:pPr>
              <w:rPr>
                <w:b/>
                <w:sz w:val="20"/>
                <w:szCs w:val="20"/>
              </w:rPr>
            </w:pPr>
            <w:r>
              <w:rPr>
                <w:b/>
                <w:sz w:val="20"/>
                <w:szCs w:val="20"/>
              </w:rPr>
              <w:t>4</w:t>
            </w:r>
          </w:p>
        </w:tc>
        <w:tc>
          <w:tcPr>
            <w:tcW w:w="7514" w:type="dxa"/>
          </w:tcPr>
          <w:p w14:paraId="76E15478" w14:textId="77777777" w:rsidR="003C70ED" w:rsidRDefault="00E9123A" w:rsidP="0050639A">
            <w:r>
              <w:t>In line with the requirements of the National Policy on the Pre</w:t>
            </w:r>
            <w:r w:rsidR="003C3C71">
              <w:t>vention of Sharps Injuries</w:t>
            </w:r>
            <w:r>
              <w:t>, i</w:t>
            </w:r>
            <w:r w:rsidR="006D0D71">
              <w:t xml:space="preserve">s </w:t>
            </w:r>
            <w:r w:rsidR="0090385F">
              <w:t xml:space="preserve">the </w:t>
            </w:r>
            <w:r w:rsidR="006D0D71">
              <w:t>re-capping of needles</w:t>
            </w:r>
            <w:r w:rsidR="003C70ED">
              <w:t xml:space="preserve"> prohibited?</w:t>
            </w:r>
          </w:p>
        </w:tc>
        <w:tc>
          <w:tcPr>
            <w:tcW w:w="850" w:type="dxa"/>
          </w:tcPr>
          <w:p w14:paraId="3D728711" w14:textId="77777777" w:rsidR="003C70ED" w:rsidRPr="00987F69" w:rsidRDefault="003C70ED" w:rsidP="003C3C71">
            <w:pPr>
              <w:rPr>
                <w:b/>
                <w:color w:val="FF0000"/>
                <w:sz w:val="24"/>
                <w:szCs w:val="24"/>
              </w:rPr>
            </w:pPr>
          </w:p>
        </w:tc>
        <w:tc>
          <w:tcPr>
            <w:tcW w:w="992" w:type="dxa"/>
          </w:tcPr>
          <w:p w14:paraId="6DB45A3C" w14:textId="77777777" w:rsidR="003C70ED" w:rsidRPr="00987F69" w:rsidRDefault="003C70ED" w:rsidP="003C3C71">
            <w:pPr>
              <w:rPr>
                <w:b/>
                <w:color w:val="FF0000"/>
                <w:sz w:val="24"/>
                <w:szCs w:val="24"/>
              </w:rPr>
            </w:pPr>
          </w:p>
        </w:tc>
        <w:tc>
          <w:tcPr>
            <w:tcW w:w="993" w:type="dxa"/>
          </w:tcPr>
          <w:p w14:paraId="3AF69F71" w14:textId="77777777" w:rsidR="003C70ED" w:rsidRPr="00987F69" w:rsidRDefault="003C70ED" w:rsidP="003C3C71">
            <w:pPr>
              <w:rPr>
                <w:b/>
                <w:color w:val="FF0000"/>
                <w:sz w:val="24"/>
                <w:szCs w:val="24"/>
              </w:rPr>
            </w:pPr>
          </w:p>
        </w:tc>
      </w:tr>
      <w:tr w:rsidR="00410FAB" w:rsidRPr="00987F69" w14:paraId="7A1DD5B5" w14:textId="77777777" w:rsidTr="003C3C71">
        <w:tc>
          <w:tcPr>
            <w:tcW w:w="709" w:type="dxa"/>
          </w:tcPr>
          <w:p w14:paraId="5EB112C7" w14:textId="77777777" w:rsidR="00410FAB" w:rsidRDefault="00410FAB" w:rsidP="003C3C71">
            <w:pPr>
              <w:rPr>
                <w:b/>
                <w:sz w:val="20"/>
                <w:szCs w:val="20"/>
              </w:rPr>
            </w:pPr>
            <w:r>
              <w:rPr>
                <w:b/>
                <w:sz w:val="20"/>
                <w:szCs w:val="20"/>
              </w:rPr>
              <w:t>5</w:t>
            </w:r>
          </w:p>
        </w:tc>
        <w:tc>
          <w:tcPr>
            <w:tcW w:w="7514" w:type="dxa"/>
          </w:tcPr>
          <w:p w14:paraId="4A2A4292" w14:textId="77777777" w:rsidR="00410FAB" w:rsidRDefault="00410FAB" w:rsidP="0050639A">
            <w:proofErr w:type="gramStart"/>
            <w:r>
              <w:t>Have staff</w:t>
            </w:r>
            <w:proofErr w:type="gramEnd"/>
            <w:r>
              <w:t xml:space="preserve"> received training in line with: </w:t>
            </w:r>
            <w:r w:rsidRPr="007E4C9F">
              <w:rPr>
                <w:i/>
              </w:rPr>
              <w:t>“Core Infection, Prevention and Control Skills – A Framework Document, 2015”</w:t>
            </w:r>
            <w:r>
              <w:t>?</w:t>
            </w:r>
          </w:p>
        </w:tc>
        <w:tc>
          <w:tcPr>
            <w:tcW w:w="850" w:type="dxa"/>
          </w:tcPr>
          <w:p w14:paraId="5248B28E" w14:textId="77777777" w:rsidR="00410FAB" w:rsidRPr="00987F69" w:rsidRDefault="00410FAB" w:rsidP="003C3C71">
            <w:pPr>
              <w:rPr>
                <w:b/>
                <w:color w:val="FF0000"/>
                <w:sz w:val="24"/>
                <w:szCs w:val="24"/>
              </w:rPr>
            </w:pPr>
          </w:p>
        </w:tc>
        <w:tc>
          <w:tcPr>
            <w:tcW w:w="992" w:type="dxa"/>
          </w:tcPr>
          <w:p w14:paraId="49F6D16B" w14:textId="77777777" w:rsidR="00410FAB" w:rsidRPr="00987F69" w:rsidRDefault="00410FAB" w:rsidP="003C3C71">
            <w:pPr>
              <w:rPr>
                <w:b/>
                <w:color w:val="FF0000"/>
                <w:sz w:val="24"/>
                <w:szCs w:val="24"/>
              </w:rPr>
            </w:pPr>
          </w:p>
        </w:tc>
        <w:tc>
          <w:tcPr>
            <w:tcW w:w="993" w:type="dxa"/>
          </w:tcPr>
          <w:p w14:paraId="1CCCDBED" w14:textId="77777777" w:rsidR="00410FAB" w:rsidRPr="00987F69" w:rsidRDefault="00410FAB" w:rsidP="003C3C71">
            <w:pPr>
              <w:rPr>
                <w:b/>
                <w:color w:val="FF0000"/>
                <w:sz w:val="24"/>
                <w:szCs w:val="24"/>
              </w:rPr>
            </w:pPr>
          </w:p>
        </w:tc>
      </w:tr>
    </w:tbl>
    <w:p w14:paraId="659C6CF3" w14:textId="77777777" w:rsidR="00E9123A" w:rsidRDefault="00E9123A"/>
    <w:tbl>
      <w:tblPr>
        <w:tblStyle w:val="TableGrid"/>
        <w:tblpPr w:leftFromText="180" w:rightFromText="180" w:vertAnchor="text" w:horzAnchor="margin" w:tblpXSpec="center" w:tblpY="53"/>
        <w:tblW w:w="11058" w:type="dxa"/>
        <w:tblLook w:val="04A0" w:firstRow="1" w:lastRow="0" w:firstColumn="1" w:lastColumn="0" w:noHBand="0" w:noVBand="1"/>
      </w:tblPr>
      <w:tblGrid>
        <w:gridCol w:w="709"/>
        <w:gridCol w:w="7514"/>
        <w:gridCol w:w="850"/>
        <w:gridCol w:w="992"/>
        <w:gridCol w:w="993"/>
      </w:tblGrid>
      <w:tr w:rsidR="00C1090C" w:rsidRPr="00987F69" w14:paraId="1D8746EF" w14:textId="77777777" w:rsidTr="003C3C71">
        <w:tc>
          <w:tcPr>
            <w:tcW w:w="709" w:type="dxa"/>
          </w:tcPr>
          <w:p w14:paraId="3D0C8B35" w14:textId="77777777" w:rsidR="00C1090C" w:rsidRPr="00C1090C" w:rsidRDefault="00410FAB" w:rsidP="00C1090C">
            <w:pPr>
              <w:rPr>
                <w:b/>
                <w:sz w:val="20"/>
                <w:szCs w:val="20"/>
              </w:rPr>
            </w:pPr>
            <w:r>
              <w:rPr>
                <w:b/>
                <w:sz w:val="20"/>
                <w:szCs w:val="20"/>
              </w:rPr>
              <w:t>6</w:t>
            </w:r>
          </w:p>
        </w:tc>
        <w:tc>
          <w:tcPr>
            <w:tcW w:w="7514" w:type="dxa"/>
          </w:tcPr>
          <w:p w14:paraId="25453D6F" w14:textId="77777777" w:rsidR="00C1090C" w:rsidRDefault="00C1090C" w:rsidP="00C1090C">
            <w:r>
              <w:t>Are standard precautions implemented in all clinical areas and for all clinical procedures?</w:t>
            </w:r>
          </w:p>
        </w:tc>
        <w:tc>
          <w:tcPr>
            <w:tcW w:w="850" w:type="dxa"/>
          </w:tcPr>
          <w:p w14:paraId="6C52823F" w14:textId="77777777" w:rsidR="00C1090C" w:rsidRPr="00987F69" w:rsidRDefault="00C1090C" w:rsidP="00C1090C">
            <w:pPr>
              <w:rPr>
                <w:b/>
                <w:color w:val="FF0000"/>
                <w:sz w:val="24"/>
                <w:szCs w:val="24"/>
              </w:rPr>
            </w:pPr>
          </w:p>
        </w:tc>
        <w:tc>
          <w:tcPr>
            <w:tcW w:w="992" w:type="dxa"/>
          </w:tcPr>
          <w:p w14:paraId="345B8A32" w14:textId="77777777" w:rsidR="00C1090C" w:rsidRPr="00987F69" w:rsidRDefault="00C1090C" w:rsidP="00C1090C">
            <w:pPr>
              <w:rPr>
                <w:b/>
                <w:color w:val="FF0000"/>
                <w:sz w:val="24"/>
                <w:szCs w:val="24"/>
              </w:rPr>
            </w:pPr>
          </w:p>
        </w:tc>
        <w:tc>
          <w:tcPr>
            <w:tcW w:w="993" w:type="dxa"/>
          </w:tcPr>
          <w:p w14:paraId="36D17BCD" w14:textId="77777777" w:rsidR="00C1090C" w:rsidRPr="00987F69" w:rsidRDefault="00C1090C" w:rsidP="00C1090C">
            <w:pPr>
              <w:rPr>
                <w:b/>
                <w:color w:val="FF0000"/>
                <w:sz w:val="24"/>
                <w:szCs w:val="24"/>
              </w:rPr>
            </w:pPr>
          </w:p>
        </w:tc>
      </w:tr>
      <w:tr w:rsidR="003C70ED" w:rsidRPr="00987F69" w14:paraId="1F041E89" w14:textId="77777777" w:rsidTr="003C3C71">
        <w:tc>
          <w:tcPr>
            <w:tcW w:w="709" w:type="dxa"/>
          </w:tcPr>
          <w:p w14:paraId="69B90208" w14:textId="77777777" w:rsidR="003C70ED" w:rsidRPr="0050639A" w:rsidRDefault="00410FAB" w:rsidP="003C3C71">
            <w:pPr>
              <w:rPr>
                <w:b/>
                <w:sz w:val="20"/>
              </w:rPr>
            </w:pPr>
            <w:r>
              <w:rPr>
                <w:b/>
                <w:sz w:val="20"/>
              </w:rPr>
              <w:t>7</w:t>
            </w:r>
          </w:p>
        </w:tc>
        <w:tc>
          <w:tcPr>
            <w:tcW w:w="7514" w:type="dxa"/>
          </w:tcPr>
          <w:p w14:paraId="798FEA7C" w14:textId="77777777" w:rsidR="003C70ED" w:rsidRDefault="003C70ED" w:rsidP="0042684E">
            <w:r>
              <w:t>Are employees offered relevant vaccinations free of charge?</w:t>
            </w:r>
          </w:p>
        </w:tc>
        <w:tc>
          <w:tcPr>
            <w:tcW w:w="850" w:type="dxa"/>
          </w:tcPr>
          <w:p w14:paraId="2123815F" w14:textId="77777777" w:rsidR="003C70ED" w:rsidRPr="00987F69" w:rsidRDefault="003C70ED" w:rsidP="003C3C71">
            <w:pPr>
              <w:rPr>
                <w:b/>
                <w:color w:val="FF0000"/>
                <w:sz w:val="24"/>
                <w:szCs w:val="24"/>
              </w:rPr>
            </w:pPr>
          </w:p>
        </w:tc>
        <w:tc>
          <w:tcPr>
            <w:tcW w:w="992" w:type="dxa"/>
          </w:tcPr>
          <w:p w14:paraId="6A26E9C2" w14:textId="77777777" w:rsidR="003C70ED" w:rsidRPr="00987F69" w:rsidRDefault="003C70ED" w:rsidP="003C3C71">
            <w:pPr>
              <w:rPr>
                <w:b/>
                <w:color w:val="FF0000"/>
                <w:sz w:val="24"/>
                <w:szCs w:val="24"/>
              </w:rPr>
            </w:pPr>
          </w:p>
        </w:tc>
        <w:tc>
          <w:tcPr>
            <w:tcW w:w="993" w:type="dxa"/>
          </w:tcPr>
          <w:p w14:paraId="71E2A5EB" w14:textId="77777777" w:rsidR="003C70ED" w:rsidRPr="00987F69" w:rsidRDefault="003C70ED" w:rsidP="003C3C71">
            <w:pPr>
              <w:rPr>
                <w:b/>
                <w:color w:val="FF0000"/>
                <w:sz w:val="24"/>
                <w:szCs w:val="24"/>
              </w:rPr>
            </w:pPr>
          </w:p>
        </w:tc>
      </w:tr>
      <w:tr w:rsidR="00E9123A" w:rsidRPr="00987F69" w14:paraId="281B1CD0" w14:textId="77777777" w:rsidTr="003C3C71">
        <w:tc>
          <w:tcPr>
            <w:tcW w:w="709" w:type="dxa"/>
          </w:tcPr>
          <w:p w14:paraId="7C14327A" w14:textId="77777777" w:rsidR="00E9123A" w:rsidRPr="0050639A" w:rsidRDefault="00410FAB" w:rsidP="003C3C71">
            <w:pPr>
              <w:rPr>
                <w:b/>
                <w:sz w:val="20"/>
              </w:rPr>
            </w:pPr>
            <w:r>
              <w:rPr>
                <w:b/>
                <w:sz w:val="20"/>
              </w:rPr>
              <w:t>8</w:t>
            </w:r>
          </w:p>
        </w:tc>
        <w:tc>
          <w:tcPr>
            <w:tcW w:w="7514" w:type="dxa"/>
          </w:tcPr>
          <w:p w14:paraId="2DE161D1" w14:textId="77777777" w:rsidR="00E9123A" w:rsidRDefault="00E9123A" w:rsidP="00E9123A">
            <w:r>
              <w:t>Are adequate numbers of easily accessible sharps bins provided?</w:t>
            </w:r>
          </w:p>
        </w:tc>
        <w:tc>
          <w:tcPr>
            <w:tcW w:w="850" w:type="dxa"/>
          </w:tcPr>
          <w:p w14:paraId="3A724D31" w14:textId="77777777" w:rsidR="00E9123A" w:rsidRPr="00987F69" w:rsidRDefault="00E9123A" w:rsidP="003C3C71">
            <w:pPr>
              <w:rPr>
                <w:b/>
                <w:color w:val="FF0000"/>
                <w:sz w:val="24"/>
                <w:szCs w:val="24"/>
              </w:rPr>
            </w:pPr>
          </w:p>
        </w:tc>
        <w:tc>
          <w:tcPr>
            <w:tcW w:w="992" w:type="dxa"/>
          </w:tcPr>
          <w:p w14:paraId="4E082877" w14:textId="77777777" w:rsidR="00E9123A" w:rsidRPr="00987F69" w:rsidRDefault="00E9123A" w:rsidP="003C3C71">
            <w:pPr>
              <w:rPr>
                <w:b/>
                <w:color w:val="FF0000"/>
                <w:sz w:val="24"/>
                <w:szCs w:val="24"/>
              </w:rPr>
            </w:pPr>
          </w:p>
        </w:tc>
        <w:tc>
          <w:tcPr>
            <w:tcW w:w="993" w:type="dxa"/>
          </w:tcPr>
          <w:p w14:paraId="2A054B01" w14:textId="77777777" w:rsidR="00E9123A" w:rsidRPr="00987F69" w:rsidRDefault="00E9123A" w:rsidP="003C3C71">
            <w:pPr>
              <w:rPr>
                <w:b/>
                <w:color w:val="FF0000"/>
                <w:sz w:val="24"/>
                <w:szCs w:val="24"/>
              </w:rPr>
            </w:pPr>
          </w:p>
        </w:tc>
      </w:tr>
      <w:tr w:rsidR="003C70ED" w:rsidRPr="00987F69" w14:paraId="51A5ED6D" w14:textId="77777777" w:rsidTr="003C3C71">
        <w:tc>
          <w:tcPr>
            <w:tcW w:w="709" w:type="dxa"/>
          </w:tcPr>
          <w:p w14:paraId="332D1AED" w14:textId="77777777" w:rsidR="003C70ED" w:rsidRPr="0050639A" w:rsidRDefault="00410FAB" w:rsidP="003C3C71">
            <w:pPr>
              <w:rPr>
                <w:b/>
                <w:sz w:val="20"/>
              </w:rPr>
            </w:pPr>
            <w:r>
              <w:rPr>
                <w:b/>
                <w:sz w:val="20"/>
              </w:rPr>
              <w:t>9</w:t>
            </w:r>
          </w:p>
        </w:tc>
        <w:tc>
          <w:tcPr>
            <w:tcW w:w="7514" w:type="dxa"/>
          </w:tcPr>
          <w:p w14:paraId="646EB4E3" w14:textId="77777777" w:rsidR="003C70ED" w:rsidRDefault="003C70ED" w:rsidP="003C3C71">
            <w:r>
              <w:t>Are sharps bins assembled in accordance with manufacture</w:t>
            </w:r>
            <w:r w:rsidR="0011060D">
              <w:t>r</w:t>
            </w:r>
            <w:r>
              <w:t>s</w:t>
            </w:r>
            <w:r w:rsidR="0011060D">
              <w:t>’</w:t>
            </w:r>
            <w:r>
              <w:t xml:space="preserve"> instructions?</w:t>
            </w:r>
          </w:p>
        </w:tc>
        <w:tc>
          <w:tcPr>
            <w:tcW w:w="850" w:type="dxa"/>
          </w:tcPr>
          <w:p w14:paraId="061E4A8D" w14:textId="77777777" w:rsidR="003C70ED" w:rsidRPr="00987F69" w:rsidRDefault="003C70ED" w:rsidP="003C3C71">
            <w:pPr>
              <w:rPr>
                <w:b/>
                <w:color w:val="FF0000"/>
                <w:sz w:val="24"/>
                <w:szCs w:val="24"/>
              </w:rPr>
            </w:pPr>
          </w:p>
        </w:tc>
        <w:tc>
          <w:tcPr>
            <w:tcW w:w="992" w:type="dxa"/>
          </w:tcPr>
          <w:p w14:paraId="531EADC8" w14:textId="77777777" w:rsidR="003C70ED" w:rsidRPr="00987F69" w:rsidRDefault="003C70ED" w:rsidP="003C3C71">
            <w:pPr>
              <w:rPr>
                <w:b/>
                <w:color w:val="FF0000"/>
                <w:sz w:val="24"/>
                <w:szCs w:val="24"/>
              </w:rPr>
            </w:pPr>
          </w:p>
        </w:tc>
        <w:tc>
          <w:tcPr>
            <w:tcW w:w="993" w:type="dxa"/>
          </w:tcPr>
          <w:p w14:paraId="5AFDB216" w14:textId="77777777" w:rsidR="003C70ED" w:rsidRPr="00987F69" w:rsidRDefault="003C70ED" w:rsidP="003C3C71">
            <w:pPr>
              <w:rPr>
                <w:b/>
                <w:color w:val="FF0000"/>
                <w:sz w:val="24"/>
                <w:szCs w:val="24"/>
              </w:rPr>
            </w:pPr>
          </w:p>
        </w:tc>
      </w:tr>
      <w:tr w:rsidR="003C70ED" w:rsidRPr="00987F69" w14:paraId="6B26E4A8" w14:textId="77777777" w:rsidTr="003C3C71">
        <w:tc>
          <w:tcPr>
            <w:tcW w:w="709" w:type="dxa"/>
          </w:tcPr>
          <w:p w14:paraId="65925CF7" w14:textId="77777777" w:rsidR="003C70ED" w:rsidRPr="0050639A" w:rsidRDefault="00410FAB" w:rsidP="003C3C71">
            <w:pPr>
              <w:rPr>
                <w:b/>
                <w:sz w:val="20"/>
              </w:rPr>
            </w:pPr>
            <w:r>
              <w:rPr>
                <w:b/>
                <w:sz w:val="20"/>
              </w:rPr>
              <w:t>10</w:t>
            </w:r>
          </w:p>
        </w:tc>
        <w:tc>
          <w:tcPr>
            <w:tcW w:w="7514" w:type="dxa"/>
          </w:tcPr>
          <w:p w14:paraId="3B055EED" w14:textId="77777777" w:rsidR="00C62BAD" w:rsidRPr="00D126DE" w:rsidRDefault="00C62BAD" w:rsidP="00C62BAD">
            <w:pPr>
              <w:autoSpaceDE w:val="0"/>
              <w:autoSpaceDN w:val="0"/>
              <w:adjustRightInd w:val="0"/>
              <w:rPr>
                <w:rFonts w:cs="Times New Roman"/>
              </w:rPr>
            </w:pPr>
            <w:r w:rsidRPr="00D126DE">
              <w:rPr>
                <w:rFonts w:cs="Times New Roman"/>
              </w:rPr>
              <w:t>Do sharp bins display the following:</w:t>
            </w:r>
          </w:p>
          <w:p w14:paraId="581772DA" w14:textId="77777777" w:rsidR="00C62BAD" w:rsidRPr="00D126DE" w:rsidRDefault="00C62BAD" w:rsidP="00C62BAD">
            <w:pPr>
              <w:pStyle w:val="ListParagraph"/>
              <w:numPr>
                <w:ilvl w:val="0"/>
                <w:numId w:val="2"/>
              </w:numPr>
              <w:autoSpaceDE w:val="0"/>
              <w:autoSpaceDN w:val="0"/>
              <w:adjustRightInd w:val="0"/>
              <w:rPr>
                <w:rFonts w:cs="Times New Roman"/>
              </w:rPr>
            </w:pPr>
            <w:r w:rsidRPr="00D126DE">
              <w:rPr>
                <w:rFonts w:cs="Times New Roman"/>
              </w:rPr>
              <w:t>UN number (UN3291 ),</w:t>
            </w:r>
          </w:p>
          <w:p w14:paraId="169DFD59" w14:textId="77777777" w:rsidR="00C62BAD" w:rsidRPr="00D126DE" w:rsidRDefault="004E710D" w:rsidP="00C62BAD">
            <w:pPr>
              <w:pStyle w:val="ListParagraph"/>
              <w:numPr>
                <w:ilvl w:val="0"/>
                <w:numId w:val="2"/>
              </w:numPr>
              <w:autoSpaceDE w:val="0"/>
              <w:autoSpaceDN w:val="0"/>
              <w:adjustRightInd w:val="0"/>
              <w:rPr>
                <w:rFonts w:cs="Times New Roman"/>
              </w:rPr>
            </w:pPr>
            <w:r>
              <w:rPr>
                <w:rFonts w:cs="Times New Roman"/>
              </w:rPr>
              <w:t>A</w:t>
            </w:r>
            <w:r w:rsidR="003C3C71">
              <w:rPr>
                <w:rFonts w:cs="Times New Roman"/>
              </w:rPr>
              <w:t xml:space="preserve"> </w:t>
            </w:r>
            <w:r w:rsidR="00C62BAD" w:rsidRPr="00D126DE">
              <w:rPr>
                <w:rFonts w:cs="Times New Roman"/>
              </w:rPr>
              <w:t>diamond shaped risk label with class number “6” and</w:t>
            </w:r>
          </w:p>
          <w:p w14:paraId="460D053D" w14:textId="77777777" w:rsidR="00C62BAD" w:rsidRPr="00D126DE" w:rsidRDefault="004E710D" w:rsidP="00C62BAD">
            <w:pPr>
              <w:pStyle w:val="ListParagraph"/>
              <w:numPr>
                <w:ilvl w:val="0"/>
                <w:numId w:val="2"/>
              </w:numPr>
              <w:autoSpaceDE w:val="0"/>
              <w:autoSpaceDN w:val="0"/>
              <w:adjustRightInd w:val="0"/>
              <w:rPr>
                <w:rFonts w:cs="Times New Roman"/>
              </w:rPr>
            </w:pPr>
            <w:r>
              <w:rPr>
                <w:rFonts w:cs="Times New Roman"/>
              </w:rPr>
              <w:t>B</w:t>
            </w:r>
            <w:r w:rsidR="00C62BAD" w:rsidRPr="00D126DE">
              <w:rPr>
                <w:rFonts w:cs="Times New Roman"/>
              </w:rPr>
              <w:t>iohazard symbol?</w:t>
            </w:r>
          </w:p>
          <w:p w14:paraId="7C8EE10E" w14:textId="77777777" w:rsidR="00C62BAD" w:rsidRPr="00410FAB" w:rsidRDefault="00C62BAD" w:rsidP="00410FAB">
            <w:pPr>
              <w:autoSpaceDE w:val="0"/>
              <w:autoSpaceDN w:val="0"/>
              <w:adjustRightInd w:val="0"/>
              <w:rPr>
                <w:rFonts w:cs="Times New Roman"/>
                <w:color w:val="FF0000"/>
              </w:rPr>
            </w:pPr>
            <w:r>
              <w:t>Ref</w:t>
            </w:r>
            <w:r w:rsidRPr="00E51857">
              <w:rPr>
                <w:i/>
              </w:rPr>
              <w:t>: DOH Healthcare Risk Waste Management Segregation Packaging and Storage Guidelines for Healthcare Risk Waste, November 2010</w:t>
            </w:r>
            <w:r>
              <w:rPr>
                <w:i/>
              </w:rPr>
              <w:t>)</w:t>
            </w:r>
          </w:p>
          <w:p w14:paraId="105CC582" w14:textId="77777777" w:rsidR="00610DB2" w:rsidRDefault="007913F2" w:rsidP="00E51857">
            <w:r>
              <w:object w:dxaOrig="3000" w:dyaOrig="5910" w14:anchorId="1D38B2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pt;height:75.35pt" o:ole="">
                  <v:imagedata r:id="rId14" o:title=""/>
                </v:shape>
                <o:OLEObject Type="Embed" ProgID="PBrush" ShapeID="_x0000_i1025" DrawAspect="Content" ObjectID="_1672213005" r:id="rId15"/>
              </w:object>
            </w:r>
          </w:p>
        </w:tc>
        <w:tc>
          <w:tcPr>
            <w:tcW w:w="850" w:type="dxa"/>
          </w:tcPr>
          <w:p w14:paraId="5211C399" w14:textId="77777777" w:rsidR="003C70ED" w:rsidRPr="00987F69" w:rsidRDefault="003C70ED" w:rsidP="003C3C71">
            <w:pPr>
              <w:rPr>
                <w:b/>
                <w:color w:val="FF0000"/>
                <w:sz w:val="24"/>
                <w:szCs w:val="24"/>
              </w:rPr>
            </w:pPr>
          </w:p>
        </w:tc>
        <w:tc>
          <w:tcPr>
            <w:tcW w:w="992" w:type="dxa"/>
          </w:tcPr>
          <w:p w14:paraId="0E89A757" w14:textId="77777777" w:rsidR="003C70ED" w:rsidRPr="00987F69" w:rsidRDefault="003C70ED" w:rsidP="003C3C71">
            <w:pPr>
              <w:rPr>
                <w:b/>
                <w:color w:val="FF0000"/>
                <w:sz w:val="24"/>
                <w:szCs w:val="24"/>
              </w:rPr>
            </w:pPr>
          </w:p>
        </w:tc>
        <w:tc>
          <w:tcPr>
            <w:tcW w:w="993" w:type="dxa"/>
          </w:tcPr>
          <w:p w14:paraId="51E57784" w14:textId="77777777" w:rsidR="003C70ED" w:rsidRPr="00987F69" w:rsidRDefault="003C70ED" w:rsidP="003C3C71">
            <w:pPr>
              <w:rPr>
                <w:b/>
                <w:color w:val="FF0000"/>
                <w:sz w:val="24"/>
                <w:szCs w:val="24"/>
              </w:rPr>
            </w:pPr>
          </w:p>
        </w:tc>
      </w:tr>
      <w:tr w:rsidR="003C70ED" w:rsidRPr="00987F69" w14:paraId="319E2FA8" w14:textId="77777777" w:rsidTr="003C3C71">
        <w:tc>
          <w:tcPr>
            <w:tcW w:w="709" w:type="dxa"/>
          </w:tcPr>
          <w:p w14:paraId="4E1EFBD7" w14:textId="77777777" w:rsidR="003C70ED" w:rsidRPr="0050639A" w:rsidRDefault="00410FAB" w:rsidP="003C3C71">
            <w:pPr>
              <w:rPr>
                <w:b/>
                <w:sz w:val="20"/>
              </w:rPr>
            </w:pPr>
            <w:r>
              <w:rPr>
                <w:b/>
                <w:sz w:val="20"/>
              </w:rPr>
              <w:t>11</w:t>
            </w:r>
          </w:p>
        </w:tc>
        <w:tc>
          <w:tcPr>
            <w:tcW w:w="7514" w:type="dxa"/>
          </w:tcPr>
          <w:p w14:paraId="15B035DC" w14:textId="77777777" w:rsidR="003C70ED" w:rsidRDefault="00623397" w:rsidP="006F298E">
            <w:r>
              <w:t>Is the</w:t>
            </w:r>
            <w:r w:rsidR="006F298E">
              <w:t xml:space="preserve"> </w:t>
            </w:r>
            <w:r w:rsidR="003C70ED">
              <w:t>temporar</w:t>
            </w:r>
            <w:r>
              <w:t>y closure on the sharps bin</w:t>
            </w:r>
            <w:r w:rsidR="003C70ED">
              <w:t xml:space="preserve"> in place </w:t>
            </w:r>
            <w:r>
              <w:t>when not in use</w:t>
            </w:r>
            <w:r w:rsidR="003C70ED">
              <w:t>?</w:t>
            </w:r>
          </w:p>
        </w:tc>
        <w:tc>
          <w:tcPr>
            <w:tcW w:w="850" w:type="dxa"/>
          </w:tcPr>
          <w:p w14:paraId="240EE8BA" w14:textId="77777777" w:rsidR="003C70ED" w:rsidRPr="00987F69" w:rsidRDefault="003C70ED" w:rsidP="003C3C71">
            <w:pPr>
              <w:rPr>
                <w:b/>
                <w:color w:val="FF0000"/>
                <w:sz w:val="24"/>
                <w:szCs w:val="24"/>
              </w:rPr>
            </w:pPr>
          </w:p>
        </w:tc>
        <w:tc>
          <w:tcPr>
            <w:tcW w:w="992" w:type="dxa"/>
          </w:tcPr>
          <w:p w14:paraId="6B02FD10" w14:textId="77777777" w:rsidR="003C70ED" w:rsidRPr="00987F69" w:rsidRDefault="003C70ED" w:rsidP="003C3C71">
            <w:pPr>
              <w:rPr>
                <w:b/>
                <w:color w:val="FF0000"/>
                <w:sz w:val="24"/>
                <w:szCs w:val="24"/>
              </w:rPr>
            </w:pPr>
          </w:p>
        </w:tc>
        <w:tc>
          <w:tcPr>
            <w:tcW w:w="993" w:type="dxa"/>
          </w:tcPr>
          <w:p w14:paraId="6CB33251" w14:textId="77777777" w:rsidR="003C70ED" w:rsidRPr="00987F69" w:rsidRDefault="003C70ED" w:rsidP="003C3C71">
            <w:pPr>
              <w:rPr>
                <w:b/>
                <w:color w:val="FF0000"/>
                <w:sz w:val="24"/>
                <w:szCs w:val="24"/>
              </w:rPr>
            </w:pPr>
          </w:p>
        </w:tc>
      </w:tr>
      <w:tr w:rsidR="003C70ED" w:rsidRPr="00987F69" w14:paraId="2A40DBFC" w14:textId="77777777" w:rsidTr="003C3C71">
        <w:tc>
          <w:tcPr>
            <w:tcW w:w="709" w:type="dxa"/>
          </w:tcPr>
          <w:p w14:paraId="1C971EF8" w14:textId="77777777" w:rsidR="003C70ED" w:rsidRPr="0050639A" w:rsidRDefault="00410FAB" w:rsidP="003C3C71">
            <w:pPr>
              <w:rPr>
                <w:b/>
                <w:sz w:val="20"/>
              </w:rPr>
            </w:pPr>
            <w:r>
              <w:rPr>
                <w:b/>
                <w:sz w:val="20"/>
              </w:rPr>
              <w:t>12</w:t>
            </w:r>
          </w:p>
        </w:tc>
        <w:tc>
          <w:tcPr>
            <w:tcW w:w="7514" w:type="dxa"/>
          </w:tcPr>
          <w:p w14:paraId="6C8BC8E3" w14:textId="77777777" w:rsidR="003C70ED" w:rsidRDefault="003C70ED" w:rsidP="003C3C71">
            <w:r>
              <w:t xml:space="preserve">Are bins filled in accordance with manufacturers </w:t>
            </w:r>
            <w:proofErr w:type="gramStart"/>
            <w:r>
              <w:t>fill</w:t>
            </w:r>
            <w:proofErr w:type="gramEnd"/>
            <w:r>
              <w:t xml:space="preserve"> line?</w:t>
            </w:r>
          </w:p>
        </w:tc>
        <w:tc>
          <w:tcPr>
            <w:tcW w:w="850" w:type="dxa"/>
          </w:tcPr>
          <w:p w14:paraId="49A6A087" w14:textId="77777777" w:rsidR="003C70ED" w:rsidRPr="00987F69" w:rsidRDefault="003C70ED" w:rsidP="003C3C71">
            <w:pPr>
              <w:rPr>
                <w:b/>
                <w:color w:val="FF0000"/>
                <w:sz w:val="24"/>
                <w:szCs w:val="24"/>
              </w:rPr>
            </w:pPr>
          </w:p>
        </w:tc>
        <w:tc>
          <w:tcPr>
            <w:tcW w:w="992" w:type="dxa"/>
          </w:tcPr>
          <w:p w14:paraId="186942D2" w14:textId="77777777" w:rsidR="003C70ED" w:rsidRPr="00987F69" w:rsidRDefault="003C70ED" w:rsidP="003C3C71">
            <w:pPr>
              <w:rPr>
                <w:b/>
                <w:color w:val="FF0000"/>
                <w:sz w:val="24"/>
                <w:szCs w:val="24"/>
              </w:rPr>
            </w:pPr>
          </w:p>
        </w:tc>
        <w:tc>
          <w:tcPr>
            <w:tcW w:w="993" w:type="dxa"/>
          </w:tcPr>
          <w:p w14:paraId="19353BB9" w14:textId="77777777" w:rsidR="003C70ED" w:rsidRPr="00987F69" w:rsidRDefault="003C70ED" w:rsidP="003C3C71">
            <w:pPr>
              <w:rPr>
                <w:b/>
                <w:color w:val="FF0000"/>
                <w:sz w:val="24"/>
                <w:szCs w:val="24"/>
              </w:rPr>
            </w:pPr>
          </w:p>
        </w:tc>
      </w:tr>
      <w:tr w:rsidR="003C70ED" w:rsidRPr="00987F69" w14:paraId="00E4ACF5" w14:textId="77777777" w:rsidTr="003C3C71">
        <w:tc>
          <w:tcPr>
            <w:tcW w:w="709" w:type="dxa"/>
          </w:tcPr>
          <w:p w14:paraId="154419BB" w14:textId="77777777" w:rsidR="003C70ED" w:rsidRPr="0050639A" w:rsidRDefault="00410FAB" w:rsidP="003C3C71">
            <w:pPr>
              <w:rPr>
                <w:b/>
                <w:sz w:val="20"/>
              </w:rPr>
            </w:pPr>
            <w:r>
              <w:rPr>
                <w:b/>
                <w:sz w:val="20"/>
              </w:rPr>
              <w:t>13</w:t>
            </w:r>
          </w:p>
        </w:tc>
        <w:tc>
          <w:tcPr>
            <w:tcW w:w="7514" w:type="dxa"/>
          </w:tcPr>
          <w:p w14:paraId="709BE3D6" w14:textId="77777777" w:rsidR="003C70ED" w:rsidRDefault="003C70ED" w:rsidP="003C3C71">
            <w:r>
              <w:t>Are bins free from protruding sharps?</w:t>
            </w:r>
          </w:p>
        </w:tc>
        <w:tc>
          <w:tcPr>
            <w:tcW w:w="850" w:type="dxa"/>
          </w:tcPr>
          <w:p w14:paraId="27807ED5" w14:textId="77777777" w:rsidR="003C70ED" w:rsidRPr="00987F69" w:rsidRDefault="003C70ED" w:rsidP="003C3C71">
            <w:pPr>
              <w:rPr>
                <w:b/>
                <w:color w:val="FF0000"/>
                <w:sz w:val="24"/>
                <w:szCs w:val="24"/>
              </w:rPr>
            </w:pPr>
          </w:p>
        </w:tc>
        <w:tc>
          <w:tcPr>
            <w:tcW w:w="992" w:type="dxa"/>
          </w:tcPr>
          <w:p w14:paraId="078E6F0C" w14:textId="77777777" w:rsidR="003C70ED" w:rsidRPr="00987F69" w:rsidRDefault="003C70ED" w:rsidP="003C3C71">
            <w:pPr>
              <w:rPr>
                <w:b/>
                <w:color w:val="FF0000"/>
                <w:sz w:val="24"/>
                <w:szCs w:val="24"/>
              </w:rPr>
            </w:pPr>
          </w:p>
        </w:tc>
        <w:tc>
          <w:tcPr>
            <w:tcW w:w="993" w:type="dxa"/>
          </w:tcPr>
          <w:p w14:paraId="7E46E5A3" w14:textId="77777777" w:rsidR="003C70ED" w:rsidRPr="00987F69" w:rsidRDefault="003C70ED" w:rsidP="003C3C71">
            <w:pPr>
              <w:rPr>
                <w:b/>
                <w:color w:val="FF0000"/>
                <w:sz w:val="24"/>
                <w:szCs w:val="24"/>
              </w:rPr>
            </w:pPr>
          </w:p>
        </w:tc>
      </w:tr>
      <w:tr w:rsidR="003C70ED" w:rsidRPr="00987F69" w14:paraId="1B33208A" w14:textId="77777777" w:rsidTr="003C3C71">
        <w:tc>
          <w:tcPr>
            <w:tcW w:w="709" w:type="dxa"/>
          </w:tcPr>
          <w:p w14:paraId="5FCBE787" w14:textId="77777777" w:rsidR="003C70ED" w:rsidRPr="0050639A" w:rsidRDefault="00410FAB" w:rsidP="003C3C71">
            <w:pPr>
              <w:rPr>
                <w:b/>
                <w:sz w:val="20"/>
              </w:rPr>
            </w:pPr>
            <w:r>
              <w:rPr>
                <w:b/>
                <w:sz w:val="20"/>
              </w:rPr>
              <w:t>14</w:t>
            </w:r>
          </w:p>
        </w:tc>
        <w:tc>
          <w:tcPr>
            <w:tcW w:w="7514" w:type="dxa"/>
          </w:tcPr>
          <w:p w14:paraId="2C7E0C8C" w14:textId="77777777" w:rsidR="003C70ED" w:rsidRDefault="003C70ED" w:rsidP="003C3C71">
            <w:r>
              <w:t xml:space="preserve">When full </w:t>
            </w:r>
            <w:r w:rsidR="00436807" w:rsidRPr="00497D1F">
              <w:t>are</w:t>
            </w:r>
            <w:r w:rsidR="00436807" w:rsidRPr="001322FC">
              <w:rPr>
                <w:color w:val="FF0000"/>
              </w:rPr>
              <w:t xml:space="preserve"> </w:t>
            </w:r>
            <w:r>
              <w:t>the sharps bin</w:t>
            </w:r>
            <w:r w:rsidR="0090385F">
              <w:t>s</w:t>
            </w:r>
            <w:r>
              <w:t xml:space="preserve"> clicked into the fully closed position and tagged?</w:t>
            </w:r>
          </w:p>
        </w:tc>
        <w:tc>
          <w:tcPr>
            <w:tcW w:w="850" w:type="dxa"/>
          </w:tcPr>
          <w:p w14:paraId="7AB42861" w14:textId="77777777" w:rsidR="003C70ED" w:rsidRPr="00987F69" w:rsidRDefault="003C70ED" w:rsidP="003C3C71">
            <w:pPr>
              <w:rPr>
                <w:b/>
                <w:color w:val="FF0000"/>
                <w:sz w:val="24"/>
                <w:szCs w:val="24"/>
              </w:rPr>
            </w:pPr>
          </w:p>
        </w:tc>
        <w:tc>
          <w:tcPr>
            <w:tcW w:w="992" w:type="dxa"/>
          </w:tcPr>
          <w:p w14:paraId="6C7E030D" w14:textId="77777777" w:rsidR="003C70ED" w:rsidRPr="00987F69" w:rsidRDefault="003C70ED" w:rsidP="003C3C71">
            <w:pPr>
              <w:rPr>
                <w:b/>
                <w:color w:val="FF0000"/>
                <w:sz w:val="24"/>
                <w:szCs w:val="24"/>
              </w:rPr>
            </w:pPr>
          </w:p>
        </w:tc>
        <w:tc>
          <w:tcPr>
            <w:tcW w:w="993" w:type="dxa"/>
          </w:tcPr>
          <w:p w14:paraId="394806A1" w14:textId="77777777" w:rsidR="003C70ED" w:rsidRPr="00987F69" w:rsidRDefault="003C70ED" w:rsidP="003C3C71">
            <w:pPr>
              <w:rPr>
                <w:b/>
                <w:color w:val="FF0000"/>
                <w:sz w:val="24"/>
                <w:szCs w:val="24"/>
              </w:rPr>
            </w:pPr>
          </w:p>
        </w:tc>
      </w:tr>
      <w:tr w:rsidR="003C70ED" w:rsidRPr="00987F69" w14:paraId="47CC2863" w14:textId="77777777" w:rsidTr="003C3C71">
        <w:tc>
          <w:tcPr>
            <w:tcW w:w="709" w:type="dxa"/>
          </w:tcPr>
          <w:p w14:paraId="1373FDA4" w14:textId="77777777" w:rsidR="003C70ED" w:rsidRPr="0050639A" w:rsidRDefault="00410FAB" w:rsidP="003C3C71">
            <w:pPr>
              <w:rPr>
                <w:b/>
                <w:sz w:val="20"/>
              </w:rPr>
            </w:pPr>
            <w:r>
              <w:rPr>
                <w:b/>
                <w:sz w:val="20"/>
              </w:rPr>
              <w:t>15</w:t>
            </w:r>
          </w:p>
        </w:tc>
        <w:tc>
          <w:tcPr>
            <w:tcW w:w="7514" w:type="dxa"/>
          </w:tcPr>
          <w:p w14:paraId="63D63632" w14:textId="77777777" w:rsidR="003C70ED" w:rsidRDefault="003C70ED" w:rsidP="003C3C71">
            <w:r>
              <w:t>Are all sharps bins labelled and signed on assembly and disposal?</w:t>
            </w:r>
          </w:p>
        </w:tc>
        <w:tc>
          <w:tcPr>
            <w:tcW w:w="850" w:type="dxa"/>
          </w:tcPr>
          <w:p w14:paraId="2BEA1028" w14:textId="77777777" w:rsidR="003C70ED" w:rsidRPr="00987F69" w:rsidRDefault="003C70ED" w:rsidP="003C3C71">
            <w:pPr>
              <w:rPr>
                <w:b/>
                <w:color w:val="FF0000"/>
                <w:sz w:val="24"/>
                <w:szCs w:val="24"/>
              </w:rPr>
            </w:pPr>
          </w:p>
        </w:tc>
        <w:tc>
          <w:tcPr>
            <w:tcW w:w="992" w:type="dxa"/>
          </w:tcPr>
          <w:p w14:paraId="4D7A88E6" w14:textId="77777777" w:rsidR="003C70ED" w:rsidRPr="00987F69" w:rsidRDefault="003C70ED" w:rsidP="003C3C71">
            <w:pPr>
              <w:rPr>
                <w:b/>
                <w:color w:val="FF0000"/>
                <w:sz w:val="24"/>
                <w:szCs w:val="24"/>
              </w:rPr>
            </w:pPr>
          </w:p>
        </w:tc>
        <w:tc>
          <w:tcPr>
            <w:tcW w:w="993" w:type="dxa"/>
          </w:tcPr>
          <w:p w14:paraId="70E2CC7F" w14:textId="77777777" w:rsidR="003C70ED" w:rsidRPr="00987F69" w:rsidRDefault="003C70ED" w:rsidP="003C3C71">
            <w:pPr>
              <w:rPr>
                <w:b/>
                <w:color w:val="FF0000"/>
                <w:sz w:val="24"/>
                <w:szCs w:val="24"/>
              </w:rPr>
            </w:pPr>
          </w:p>
        </w:tc>
      </w:tr>
      <w:tr w:rsidR="003C70ED" w:rsidRPr="00987F69" w14:paraId="6E8979E0" w14:textId="77777777" w:rsidTr="003C3C71">
        <w:tc>
          <w:tcPr>
            <w:tcW w:w="709" w:type="dxa"/>
          </w:tcPr>
          <w:p w14:paraId="7E36285D" w14:textId="77777777" w:rsidR="003C70ED" w:rsidRPr="0050639A" w:rsidRDefault="00410FAB" w:rsidP="003C3C71">
            <w:pPr>
              <w:rPr>
                <w:b/>
                <w:sz w:val="20"/>
              </w:rPr>
            </w:pPr>
            <w:r>
              <w:rPr>
                <w:b/>
                <w:sz w:val="20"/>
              </w:rPr>
              <w:t>16</w:t>
            </w:r>
          </w:p>
        </w:tc>
        <w:tc>
          <w:tcPr>
            <w:tcW w:w="7514" w:type="dxa"/>
          </w:tcPr>
          <w:p w14:paraId="7EB78625" w14:textId="77777777" w:rsidR="003C70ED" w:rsidRDefault="003C70ED" w:rsidP="003C3C71">
            <w:r>
              <w:t>Are needles and syringes discarded into a sharps bin as one unit?</w:t>
            </w:r>
          </w:p>
        </w:tc>
        <w:tc>
          <w:tcPr>
            <w:tcW w:w="850" w:type="dxa"/>
          </w:tcPr>
          <w:p w14:paraId="61A23E23" w14:textId="77777777" w:rsidR="003C70ED" w:rsidRPr="00987F69" w:rsidRDefault="003C70ED" w:rsidP="003C3C71">
            <w:pPr>
              <w:rPr>
                <w:b/>
                <w:color w:val="FF0000"/>
                <w:sz w:val="24"/>
                <w:szCs w:val="24"/>
              </w:rPr>
            </w:pPr>
          </w:p>
        </w:tc>
        <w:tc>
          <w:tcPr>
            <w:tcW w:w="992" w:type="dxa"/>
          </w:tcPr>
          <w:p w14:paraId="2836B8EE" w14:textId="77777777" w:rsidR="003C70ED" w:rsidRPr="00987F69" w:rsidRDefault="003C70ED" w:rsidP="003C3C71">
            <w:pPr>
              <w:rPr>
                <w:b/>
                <w:color w:val="FF0000"/>
                <w:sz w:val="24"/>
                <w:szCs w:val="24"/>
              </w:rPr>
            </w:pPr>
          </w:p>
        </w:tc>
        <w:tc>
          <w:tcPr>
            <w:tcW w:w="993" w:type="dxa"/>
          </w:tcPr>
          <w:p w14:paraId="566151BC" w14:textId="77777777" w:rsidR="003C70ED" w:rsidRPr="00987F69" w:rsidRDefault="003C70ED" w:rsidP="003C3C71">
            <w:pPr>
              <w:rPr>
                <w:b/>
                <w:color w:val="FF0000"/>
                <w:sz w:val="24"/>
                <w:szCs w:val="24"/>
              </w:rPr>
            </w:pPr>
          </w:p>
        </w:tc>
      </w:tr>
      <w:tr w:rsidR="003C70ED" w:rsidRPr="00987F69" w14:paraId="7BD31858" w14:textId="77777777" w:rsidTr="003C3C71">
        <w:tc>
          <w:tcPr>
            <w:tcW w:w="709" w:type="dxa"/>
          </w:tcPr>
          <w:p w14:paraId="2B158BC0" w14:textId="77777777" w:rsidR="003C70ED" w:rsidRPr="0050639A" w:rsidRDefault="00410FAB" w:rsidP="003C3C71">
            <w:pPr>
              <w:rPr>
                <w:b/>
                <w:sz w:val="20"/>
              </w:rPr>
            </w:pPr>
            <w:r>
              <w:rPr>
                <w:b/>
                <w:sz w:val="20"/>
              </w:rPr>
              <w:t>17</w:t>
            </w:r>
          </w:p>
        </w:tc>
        <w:tc>
          <w:tcPr>
            <w:tcW w:w="7514" w:type="dxa"/>
          </w:tcPr>
          <w:p w14:paraId="749F0483" w14:textId="77777777" w:rsidR="003C70ED" w:rsidRDefault="003C70ED" w:rsidP="003C3C71">
            <w:r>
              <w:t>While in use, are bins stored safely, away from the public and out of reach of children?</w:t>
            </w:r>
          </w:p>
        </w:tc>
        <w:tc>
          <w:tcPr>
            <w:tcW w:w="850" w:type="dxa"/>
          </w:tcPr>
          <w:p w14:paraId="137D0589" w14:textId="77777777" w:rsidR="003C70ED" w:rsidRPr="00987F69" w:rsidRDefault="003C70ED" w:rsidP="003C3C71">
            <w:pPr>
              <w:rPr>
                <w:b/>
                <w:color w:val="FF0000"/>
                <w:sz w:val="24"/>
                <w:szCs w:val="24"/>
              </w:rPr>
            </w:pPr>
          </w:p>
        </w:tc>
        <w:tc>
          <w:tcPr>
            <w:tcW w:w="992" w:type="dxa"/>
          </w:tcPr>
          <w:p w14:paraId="3E4A1AA2" w14:textId="77777777" w:rsidR="003C70ED" w:rsidRPr="00987F69" w:rsidRDefault="003C70ED" w:rsidP="003C3C71">
            <w:pPr>
              <w:rPr>
                <w:b/>
                <w:color w:val="FF0000"/>
                <w:sz w:val="24"/>
                <w:szCs w:val="24"/>
              </w:rPr>
            </w:pPr>
          </w:p>
        </w:tc>
        <w:tc>
          <w:tcPr>
            <w:tcW w:w="993" w:type="dxa"/>
          </w:tcPr>
          <w:p w14:paraId="3BEC85BB" w14:textId="77777777" w:rsidR="003C70ED" w:rsidRPr="00987F69" w:rsidRDefault="003C70ED" w:rsidP="003C3C71">
            <w:pPr>
              <w:rPr>
                <w:b/>
                <w:color w:val="FF0000"/>
                <w:sz w:val="24"/>
                <w:szCs w:val="24"/>
              </w:rPr>
            </w:pPr>
          </w:p>
        </w:tc>
      </w:tr>
      <w:tr w:rsidR="003C70ED" w:rsidRPr="00987F69" w14:paraId="40D1496E" w14:textId="77777777" w:rsidTr="003C3C71">
        <w:tc>
          <w:tcPr>
            <w:tcW w:w="709" w:type="dxa"/>
          </w:tcPr>
          <w:p w14:paraId="6C59D7C2" w14:textId="77777777" w:rsidR="003C70ED" w:rsidRPr="0050639A" w:rsidRDefault="00410FAB" w:rsidP="003C3C71">
            <w:pPr>
              <w:rPr>
                <w:b/>
                <w:sz w:val="20"/>
              </w:rPr>
            </w:pPr>
            <w:r>
              <w:rPr>
                <w:b/>
                <w:sz w:val="20"/>
              </w:rPr>
              <w:t>18</w:t>
            </w:r>
          </w:p>
        </w:tc>
        <w:tc>
          <w:tcPr>
            <w:tcW w:w="7514" w:type="dxa"/>
          </w:tcPr>
          <w:p w14:paraId="4DB72DFA" w14:textId="77777777" w:rsidR="003C70ED" w:rsidRDefault="003C70ED" w:rsidP="003C3C71">
            <w:r>
              <w:t>Are full sharps bins stored in a designated locked area awaiting collection/disposal?</w:t>
            </w:r>
          </w:p>
        </w:tc>
        <w:tc>
          <w:tcPr>
            <w:tcW w:w="850" w:type="dxa"/>
          </w:tcPr>
          <w:p w14:paraId="076BBD72" w14:textId="77777777" w:rsidR="003C70ED" w:rsidRPr="00987F69" w:rsidRDefault="003C70ED" w:rsidP="003C3C71">
            <w:pPr>
              <w:rPr>
                <w:b/>
                <w:color w:val="FF0000"/>
                <w:sz w:val="24"/>
                <w:szCs w:val="24"/>
              </w:rPr>
            </w:pPr>
          </w:p>
        </w:tc>
        <w:tc>
          <w:tcPr>
            <w:tcW w:w="992" w:type="dxa"/>
          </w:tcPr>
          <w:p w14:paraId="4B4F67ED" w14:textId="77777777" w:rsidR="003C70ED" w:rsidRPr="00987F69" w:rsidRDefault="003C70ED" w:rsidP="003C3C71">
            <w:pPr>
              <w:rPr>
                <w:b/>
                <w:color w:val="FF0000"/>
                <w:sz w:val="24"/>
                <w:szCs w:val="24"/>
              </w:rPr>
            </w:pPr>
          </w:p>
        </w:tc>
        <w:tc>
          <w:tcPr>
            <w:tcW w:w="993" w:type="dxa"/>
          </w:tcPr>
          <w:p w14:paraId="4052BAB3" w14:textId="77777777" w:rsidR="003C70ED" w:rsidRPr="00987F69" w:rsidRDefault="003C70ED" w:rsidP="003C3C71">
            <w:pPr>
              <w:rPr>
                <w:b/>
                <w:color w:val="FF0000"/>
                <w:sz w:val="24"/>
                <w:szCs w:val="24"/>
              </w:rPr>
            </w:pPr>
          </w:p>
        </w:tc>
      </w:tr>
      <w:tr w:rsidR="003C70ED" w:rsidRPr="00987F69" w14:paraId="5F1A61C7" w14:textId="77777777" w:rsidTr="003C3C71">
        <w:tc>
          <w:tcPr>
            <w:tcW w:w="709" w:type="dxa"/>
          </w:tcPr>
          <w:p w14:paraId="37FAEA16" w14:textId="77777777" w:rsidR="003C70ED" w:rsidRPr="0050639A" w:rsidRDefault="00410FAB" w:rsidP="003C3C71">
            <w:pPr>
              <w:rPr>
                <w:b/>
                <w:sz w:val="20"/>
              </w:rPr>
            </w:pPr>
            <w:r>
              <w:rPr>
                <w:b/>
                <w:sz w:val="20"/>
              </w:rPr>
              <w:t>19</w:t>
            </w:r>
          </w:p>
        </w:tc>
        <w:tc>
          <w:tcPr>
            <w:tcW w:w="7514" w:type="dxa"/>
          </w:tcPr>
          <w:p w14:paraId="2FF321C3" w14:textId="77777777" w:rsidR="003C70ED" w:rsidRDefault="003C70ED" w:rsidP="003C3C71">
            <w:r>
              <w:t>Are waste poster</w:t>
            </w:r>
            <w:r w:rsidR="0042684E">
              <w:t>s</w:t>
            </w:r>
            <w:r>
              <w:t xml:space="preserve"> displayed detailing the correct segr</w:t>
            </w:r>
            <w:r w:rsidR="006D0D71">
              <w:t xml:space="preserve">egation of clinical risk </w:t>
            </w:r>
            <w:r w:rsidR="00C1090C">
              <w:t>waste, where</w:t>
            </w:r>
            <w:r>
              <w:t xml:space="preserve"> clinical risk waste is collected for disposal?</w:t>
            </w:r>
          </w:p>
        </w:tc>
        <w:tc>
          <w:tcPr>
            <w:tcW w:w="850" w:type="dxa"/>
          </w:tcPr>
          <w:p w14:paraId="1D631287" w14:textId="77777777" w:rsidR="003C70ED" w:rsidRPr="00987F69" w:rsidRDefault="003C70ED" w:rsidP="003C3C71">
            <w:pPr>
              <w:rPr>
                <w:b/>
                <w:color w:val="FF0000"/>
                <w:sz w:val="24"/>
                <w:szCs w:val="24"/>
              </w:rPr>
            </w:pPr>
          </w:p>
        </w:tc>
        <w:tc>
          <w:tcPr>
            <w:tcW w:w="992" w:type="dxa"/>
          </w:tcPr>
          <w:p w14:paraId="7CCA92F7" w14:textId="77777777" w:rsidR="003C70ED" w:rsidRPr="00987F69" w:rsidRDefault="003C70ED" w:rsidP="003C3C71">
            <w:pPr>
              <w:rPr>
                <w:b/>
                <w:color w:val="FF0000"/>
                <w:sz w:val="24"/>
                <w:szCs w:val="24"/>
              </w:rPr>
            </w:pPr>
          </w:p>
        </w:tc>
        <w:tc>
          <w:tcPr>
            <w:tcW w:w="993" w:type="dxa"/>
          </w:tcPr>
          <w:p w14:paraId="02750A57" w14:textId="77777777" w:rsidR="003C70ED" w:rsidRPr="00987F69" w:rsidRDefault="003C70ED" w:rsidP="003C3C71">
            <w:pPr>
              <w:rPr>
                <w:b/>
                <w:color w:val="FF0000"/>
                <w:sz w:val="24"/>
                <w:szCs w:val="24"/>
              </w:rPr>
            </w:pPr>
          </w:p>
        </w:tc>
      </w:tr>
      <w:tr w:rsidR="003C70ED" w:rsidRPr="00987F69" w14:paraId="465DAD37" w14:textId="77777777" w:rsidTr="003C3C71">
        <w:tc>
          <w:tcPr>
            <w:tcW w:w="709" w:type="dxa"/>
          </w:tcPr>
          <w:p w14:paraId="1225F5A7" w14:textId="77777777" w:rsidR="003C70ED" w:rsidRPr="0050639A" w:rsidRDefault="00410FAB" w:rsidP="003C3C71">
            <w:pPr>
              <w:rPr>
                <w:b/>
                <w:sz w:val="20"/>
              </w:rPr>
            </w:pPr>
            <w:r>
              <w:rPr>
                <w:b/>
                <w:sz w:val="20"/>
              </w:rPr>
              <w:t>20</w:t>
            </w:r>
          </w:p>
        </w:tc>
        <w:tc>
          <w:tcPr>
            <w:tcW w:w="7514" w:type="dxa"/>
          </w:tcPr>
          <w:p w14:paraId="554DB06E" w14:textId="77777777" w:rsidR="003C70ED" w:rsidRDefault="003C70ED" w:rsidP="003C3C71">
            <w:r>
              <w:t>Has training been provided on the correct segregation of clinical risk waste?</w:t>
            </w:r>
          </w:p>
        </w:tc>
        <w:tc>
          <w:tcPr>
            <w:tcW w:w="850" w:type="dxa"/>
          </w:tcPr>
          <w:p w14:paraId="20763E9C" w14:textId="77777777" w:rsidR="003C70ED" w:rsidRPr="00987F69" w:rsidRDefault="003C70ED" w:rsidP="003C3C71">
            <w:pPr>
              <w:rPr>
                <w:b/>
                <w:color w:val="FF0000"/>
                <w:sz w:val="24"/>
                <w:szCs w:val="24"/>
              </w:rPr>
            </w:pPr>
          </w:p>
        </w:tc>
        <w:tc>
          <w:tcPr>
            <w:tcW w:w="992" w:type="dxa"/>
          </w:tcPr>
          <w:p w14:paraId="734CA78F" w14:textId="77777777" w:rsidR="003C70ED" w:rsidRPr="00987F69" w:rsidRDefault="003C70ED" w:rsidP="003C3C71">
            <w:pPr>
              <w:rPr>
                <w:b/>
                <w:color w:val="FF0000"/>
                <w:sz w:val="24"/>
                <w:szCs w:val="24"/>
              </w:rPr>
            </w:pPr>
          </w:p>
        </w:tc>
        <w:tc>
          <w:tcPr>
            <w:tcW w:w="993" w:type="dxa"/>
          </w:tcPr>
          <w:p w14:paraId="5EC4FE53" w14:textId="77777777" w:rsidR="003C70ED" w:rsidRPr="00987F69" w:rsidRDefault="003C70ED" w:rsidP="003C3C71">
            <w:pPr>
              <w:rPr>
                <w:b/>
                <w:color w:val="FF0000"/>
                <w:sz w:val="24"/>
                <w:szCs w:val="24"/>
              </w:rPr>
            </w:pPr>
          </w:p>
        </w:tc>
      </w:tr>
      <w:tr w:rsidR="003C70ED" w:rsidRPr="00987F69" w14:paraId="488A1429" w14:textId="77777777" w:rsidTr="003C3C71">
        <w:tc>
          <w:tcPr>
            <w:tcW w:w="709" w:type="dxa"/>
          </w:tcPr>
          <w:p w14:paraId="12CAE283" w14:textId="77777777" w:rsidR="003C70ED" w:rsidRPr="0050639A" w:rsidRDefault="00410FAB" w:rsidP="003C3C71">
            <w:pPr>
              <w:rPr>
                <w:b/>
                <w:sz w:val="20"/>
              </w:rPr>
            </w:pPr>
            <w:r>
              <w:rPr>
                <w:b/>
                <w:sz w:val="20"/>
              </w:rPr>
              <w:t>21</w:t>
            </w:r>
          </w:p>
        </w:tc>
        <w:tc>
          <w:tcPr>
            <w:tcW w:w="7514" w:type="dxa"/>
          </w:tcPr>
          <w:p w14:paraId="0C6072AA" w14:textId="77777777" w:rsidR="003C70ED" w:rsidRDefault="003C70ED" w:rsidP="003C3C71">
            <w:r>
              <w:t>Are employees provided with and trained in the use of appropriate PPE?</w:t>
            </w:r>
          </w:p>
        </w:tc>
        <w:tc>
          <w:tcPr>
            <w:tcW w:w="850" w:type="dxa"/>
          </w:tcPr>
          <w:p w14:paraId="6B1BAAA3" w14:textId="77777777" w:rsidR="003C70ED" w:rsidRPr="00987F69" w:rsidRDefault="003C70ED" w:rsidP="003C3C71">
            <w:pPr>
              <w:rPr>
                <w:b/>
                <w:color w:val="FF0000"/>
                <w:sz w:val="24"/>
                <w:szCs w:val="24"/>
              </w:rPr>
            </w:pPr>
          </w:p>
        </w:tc>
        <w:tc>
          <w:tcPr>
            <w:tcW w:w="992" w:type="dxa"/>
          </w:tcPr>
          <w:p w14:paraId="1F6E28FA" w14:textId="77777777" w:rsidR="003C70ED" w:rsidRPr="00987F69" w:rsidRDefault="003C70ED" w:rsidP="003C3C71">
            <w:pPr>
              <w:rPr>
                <w:b/>
                <w:color w:val="FF0000"/>
                <w:sz w:val="24"/>
                <w:szCs w:val="24"/>
              </w:rPr>
            </w:pPr>
          </w:p>
        </w:tc>
        <w:tc>
          <w:tcPr>
            <w:tcW w:w="993" w:type="dxa"/>
          </w:tcPr>
          <w:p w14:paraId="6026B8BD" w14:textId="77777777" w:rsidR="003C70ED" w:rsidRPr="00987F69" w:rsidRDefault="003C70ED" w:rsidP="003C3C71">
            <w:pPr>
              <w:rPr>
                <w:b/>
                <w:color w:val="FF0000"/>
                <w:sz w:val="24"/>
                <w:szCs w:val="24"/>
              </w:rPr>
            </w:pPr>
          </w:p>
        </w:tc>
      </w:tr>
      <w:tr w:rsidR="003C70ED" w:rsidRPr="00987F69" w14:paraId="3E04B92D" w14:textId="77777777" w:rsidTr="00497D1F">
        <w:tc>
          <w:tcPr>
            <w:tcW w:w="709" w:type="dxa"/>
            <w:shd w:val="clear" w:color="auto" w:fill="F2F2F2" w:themeFill="background1" w:themeFillShade="F2"/>
          </w:tcPr>
          <w:p w14:paraId="74343924" w14:textId="77777777" w:rsidR="003C70ED" w:rsidRPr="0050639A" w:rsidRDefault="003C70ED" w:rsidP="003C3C71">
            <w:pPr>
              <w:rPr>
                <w:b/>
                <w:sz w:val="20"/>
              </w:rPr>
            </w:pPr>
          </w:p>
        </w:tc>
        <w:tc>
          <w:tcPr>
            <w:tcW w:w="7514" w:type="dxa"/>
            <w:shd w:val="clear" w:color="auto" w:fill="F2F2F2" w:themeFill="background1" w:themeFillShade="F2"/>
          </w:tcPr>
          <w:p w14:paraId="12810887" w14:textId="77777777" w:rsidR="003C70ED" w:rsidRPr="003C70ED" w:rsidRDefault="003C70ED" w:rsidP="003C3C71">
            <w:pPr>
              <w:rPr>
                <w:b/>
              </w:rPr>
            </w:pPr>
            <w:r w:rsidRPr="003C70ED">
              <w:rPr>
                <w:b/>
              </w:rPr>
              <w:t xml:space="preserve">Incident Reporting </w:t>
            </w:r>
          </w:p>
        </w:tc>
        <w:tc>
          <w:tcPr>
            <w:tcW w:w="850" w:type="dxa"/>
            <w:shd w:val="clear" w:color="auto" w:fill="F2F2F2" w:themeFill="background1" w:themeFillShade="F2"/>
          </w:tcPr>
          <w:p w14:paraId="7B30CCA0" w14:textId="77777777" w:rsidR="003C70ED" w:rsidRPr="00987F69" w:rsidRDefault="003C70ED" w:rsidP="003C3C71">
            <w:pPr>
              <w:rPr>
                <w:b/>
                <w:color w:val="FF0000"/>
                <w:sz w:val="24"/>
                <w:szCs w:val="24"/>
              </w:rPr>
            </w:pPr>
          </w:p>
        </w:tc>
        <w:tc>
          <w:tcPr>
            <w:tcW w:w="992" w:type="dxa"/>
            <w:shd w:val="clear" w:color="auto" w:fill="F2F2F2" w:themeFill="background1" w:themeFillShade="F2"/>
          </w:tcPr>
          <w:p w14:paraId="1A270F10" w14:textId="77777777" w:rsidR="003C70ED" w:rsidRPr="00987F69" w:rsidRDefault="003C70ED" w:rsidP="003C3C71">
            <w:pPr>
              <w:rPr>
                <w:b/>
                <w:color w:val="FF0000"/>
                <w:sz w:val="24"/>
                <w:szCs w:val="24"/>
              </w:rPr>
            </w:pPr>
          </w:p>
        </w:tc>
        <w:tc>
          <w:tcPr>
            <w:tcW w:w="993" w:type="dxa"/>
            <w:shd w:val="clear" w:color="auto" w:fill="F2F2F2" w:themeFill="background1" w:themeFillShade="F2"/>
          </w:tcPr>
          <w:p w14:paraId="677992E1" w14:textId="77777777" w:rsidR="003C70ED" w:rsidRPr="00987F69" w:rsidRDefault="003C70ED" w:rsidP="003C3C71">
            <w:pPr>
              <w:rPr>
                <w:b/>
                <w:color w:val="FF0000"/>
                <w:sz w:val="24"/>
                <w:szCs w:val="24"/>
              </w:rPr>
            </w:pPr>
          </w:p>
        </w:tc>
      </w:tr>
      <w:tr w:rsidR="003C70ED" w:rsidRPr="00987F69" w14:paraId="2596F6C9" w14:textId="77777777" w:rsidTr="003C3C71">
        <w:tc>
          <w:tcPr>
            <w:tcW w:w="709" w:type="dxa"/>
          </w:tcPr>
          <w:p w14:paraId="5640BB5A" w14:textId="77777777" w:rsidR="003C70ED" w:rsidRPr="0050639A" w:rsidRDefault="00410FAB" w:rsidP="003C3C71">
            <w:pPr>
              <w:rPr>
                <w:b/>
                <w:sz w:val="20"/>
              </w:rPr>
            </w:pPr>
            <w:r>
              <w:rPr>
                <w:b/>
                <w:sz w:val="20"/>
              </w:rPr>
              <w:t>22</w:t>
            </w:r>
          </w:p>
        </w:tc>
        <w:tc>
          <w:tcPr>
            <w:tcW w:w="7514" w:type="dxa"/>
          </w:tcPr>
          <w:p w14:paraId="0C605AE4" w14:textId="77777777" w:rsidR="003C70ED" w:rsidRDefault="003C70ED" w:rsidP="00350FE1">
            <w:r>
              <w:t>In the event of an injury, are the Guidelines for the Emergency Management of Injuries</w:t>
            </w:r>
            <w:r w:rsidR="00350FE1">
              <w:t xml:space="preserve"> &amp; post exposure prophylaxis</w:t>
            </w:r>
            <w:r>
              <w:t xml:space="preserve"> adhered to?</w:t>
            </w:r>
          </w:p>
        </w:tc>
        <w:tc>
          <w:tcPr>
            <w:tcW w:w="850" w:type="dxa"/>
          </w:tcPr>
          <w:p w14:paraId="678BA595" w14:textId="77777777" w:rsidR="003C70ED" w:rsidRPr="00987F69" w:rsidRDefault="003C70ED" w:rsidP="003C3C71">
            <w:pPr>
              <w:rPr>
                <w:b/>
                <w:color w:val="FF0000"/>
                <w:sz w:val="24"/>
                <w:szCs w:val="24"/>
              </w:rPr>
            </w:pPr>
          </w:p>
        </w:tc>
        <w:tc>
          <w:tcPr>
            <w:tcW w:w="992" w:type="dxa"/>
          </w:tcPr>
          <w:p w14:paraId="735C2D47" w14:textId="77777777" w:rsidR="003C70ED" w:rsidRPr="00987F69" w:rsidRDefault="003C70ED" w:rsidP="003C3C71">
            <w:pPr>
              <w:rPr>
                <w:b/>
                <w:color w:val="FF0000"/>
                <w:sz w:val="24"/>
                <w:szCs w:val="24"/>
              </w:rPr>
            </w:pPr>
          </w:p>
        </w:tc>
        <w:tc>
          <w:tcPr>
            <w:tcW w:w="993" w:type="dxa"/>
          </w:tcPr>
          <w:p w14:paraId="3241E911" w14:textId="77777777" w:rsidR="003C70ED" w:rsidRPr="00987F69" w:rsidRDefault="003C70ED" w:rsidP="003C3C71">
            <w:pPr>
              <w:rPr>
                <w:b/>
                <w:color w:val="FF0000"/>
                <w:sz w:val="24"/>
                <w:szCs w:val="24"/>
              </w:rPr>
            </w:pPr>
          </w:p>
        </w:tc>
      </w:tr>
      <w:tr w:rsidR="003C70ED" w:rsidRPr="00987F69" w14:paraId="29B7B1EF" w14:textId="77777777" w:rsidTr="003C3C71">
        <w:tc>
          <w:tcPr>
            <w:tcW w:w="709" w:type="dxa"/>
          </w:tcPr>
          <w:p w14:paraId="2B864D0B" w14:textId="77777777" w:rsidR="003C70ED" w:rsidRPr="0050639A" w:rsidRDefault="00410FAB" w:rsidP="003C3C71">
            <w:pPr>
              <w:rPr>
                <w:b/>
                <w:sz w:val="20"/>
              </w:rPr>
            </w:pPr>
            <w:r>
              <w:rPr>
                <w:b/>
                <w:sz w:val="20"/>
              </w:rPr>
              <w:t>23</w:t>
            </w:r>
          </w:p>
        </w:tc>
        <w:tc>
          <w:tcPr>
            <w:tcW w:w="7514" w:type="dxa"/>
          </w:tcPr>
          <w:p w14:paraId="5A467889" w14:textId="77777777" w:rsidR="003C70ED" w:rsidRDefault="003C70ED" w:rsidP="003C3C71">
            <w:r>
              <w:t xml:space="preserve">Are local procedures </w:t>
            </w:r>
            <w:r w:rsidRPr="00A2683D">
              <w:t xml:space="preserve">in place to ensure </w:t>
            </w:r>
            <w:r w:rsidR="0042684E">
              <w:t xml:space="preserve">that </w:t>
            </w:r>
            <w:r w:rsidRPr="00A2683D">
              <w:t xml:space="preserve">employees who have suffered an adverse event have access to </w:t>
            </w:r>
            <w:r w:rsidR="00C1090C">
              <w:t>treatment and follow up support</w:t>
            </w:r>
            <w:r w:rsidRPr="00A2683D">
              <w:t xml:space="preserve"> includ</w:t>
            </w:r>
            <w:r w:rsidR="0042684E">
              <w:t>ing</w:t>
            </w:r>
            <w:r w:rsidRPr="00A2683D">
              <w:t xml:space="preserve"> out</w:t>
            </w:r>
            <w:r>
              <w:t xml:space="preserve"> of hours care?</w:t>
            </w:r>
          </w:p>
        </w:tc>
        <w:tc>
          <w:tcPr>
            <w:tcW w:w="850" w:type="dxa"/>
          </w:tcPr>
          <w:p w14:paraId="5C8AFBEE" w14:textId="77777777" w:rsidR="003C70ED" w:rsidRPr="00987F69" w:rsidRDefault="003C70ED" w:rsidP="003C3C71">
            <w:pPr>
              <w:rPr>
                <w:b/>
                <w:color w:val="FF0000"/>
                <w:sz w:val="24"/>
                <w:szCs w:val="24"/>
              </w:rPr>
            </w:pPr>
          </w:p>
        </w:tc>
        <w:tc>
          <w:tcPr>
            <w:tcW w:w="992" w:type="dxa"/>
          </w:tcPr>
          <w:p w14:paraId="5AEFC355" w14:textId="77777777" w:rsidR="003C70ED" w:rsidRPr="00987F69" w:rsidRDefault="003C70ED" w:rsidP="003C3C71">
            <w:pPr>
              <w:rPr>
                <w:b/>
                <w:color w:val="FF0000"/>
                <w:sz w:val="24"/>
                <w:szCs w:val="24"/>
              </w:rPr>
            </w:pPr>
          </w:p>
        </w:tc>
        <w:tc>
          <w:tcPr>
            <w:tcW w:w="993" w:type="dxa"/>
          </w:tcPr>
          <w:p w14:paraId="3B2586F8" w14:textId="77777777" w:rsidR="003C70ED" w:rsidRPr="00987F69" w:rsidRDefault="003C70ED" w:rsidP="003C3C71">
            <w:pPr>
              <w:rPr>
                <w:b/>
                <w:color w:val="FF0000"/>
                <w:sz w:val="24"/>
                <w:szCs w:val="24"/>
              </w:rPr>
            </w:pPr>
          </w:p>
        </w:tc>
      </w:tr>
      <w:tr w:rsidR="003C70ED" w:rsidRPr="00987F69" w14:paraId="64809895" w14:textId="77777777" w:rsidTr="003C3C71">
        <w:tc>
          <w:tcPr>
            <w:tcW w:w="709" w:type="dxa"/>
          </w:tcPr>
          <w:p w14:paraId="0731EF80" w14:textId="77777777" w:rsidR="003C70ED" w:rsidRPr="0050639A" w:rsidRDefault="00410FAB" w:rsidP="003C3C71">
            <w:pPr>
              <w:rPr>
                <w:b/>
                <w:sz w:val="20"/>
              </w:rPr>
            </w:pPr>
            <w:r>
              <w:rPr>
                <w:b/>
                <w:sz w:val="20"/>
              </w:rPr>
              <w:t>24</w:t>
            </w:r>
          </w:p>
        </w:tc>
        <w:tc>
          <w:tcPr>
            <w:tcW w:w="7514" w:type="dxa"/>
          </w:tcPr>
          <w:p w14:paraId="21BDB487" w14:textId="77777777" w:rsidR="003C70ED" w:rsidRDefault="003C70ED" w:rsidP="003C3C71">
            <w:r w:rsidRPr="004012C8">
              <w:t>Are all incidents/accidents/near misses recorded and investigated and remedial measures implemented?</w:t>
            </w:r>
          </w:p>
        </w:tc>
        <w:tc>
          <w:tcPr>
            <w:tcW w:w="850" w:type="dxa"/>
          </w:tcPr>
          <w:p w14:paraId="05C36D46" w14:textId="77777777" w:rsidR="003C70ED" w:rsidRPr="00987F69" w:rsidRDefault="003C70ED" w:rsidP="003C3C71">
            <w:pPr>
              <w:rPr>
                <w:b/>
                <w:color w:val="FF0000"/>
                <w:sz w:val="24"/>
                <w:szCs w:val="24"/>
              </w:rPr>
            </w:pPr>
          </w:p>
        </w:tc>
        <w:tc>
          <w:tcPr>
            <w:tcW w:w="992" w:type="dxa"/>
          </w:tcPr>
          <w:p w14:paraId="3543BBD2" w14:textId="77777777" w:rsidR="003C70ED" w:rsidRPr="00987F69" w:rsidRDefault="003C70ED" w:rsidP="003C3C71">
            <w:pPr>
              <w:rPr>
                <w:b/>
                <w:color w:val="FF0000"/>
                <w:sz w:val="24"/>
                <w:szCs w:val="24"/>
              </w:rPr>
            </w:pPr>
          </w:p>
        </w:tc>
        <w:tc>
          <w:tcPr>
            <w:tcW w:w="993" w:type="dxa"/>
          </w:tcPr>
          <w:p w14:paraId="02893345" w14:textId="77777777" w:rsidR="003C70ED" w:rsidRPr="00987F69" w:rsidRDefault="003C70ED" w:rsidP="003C3C71">
            <w:pPr>
              <w:rPr>
                <w:b/>
                <w:color w:val="FF0000"/>
                <w:sz w:val="24"/>
                <w:szCs w:val="24"/>
              </w:rPr>
            </w:pPr>
          </w:p>
        </w:tc>
      </w:tr>
      <w:tr w:rsidR="003C70ED" w:rsidRPr="00987F69" w14:paraId="66A34D61" w14:textId="77777777" w:rsidTr="00497D1F">
        <w:tc>
          <w:tcPr>
            <w:tcW w:w="709" w:type="dxa"/>
            <w:shd w:val="clear" w:color="auto" w:fill="F2F2F2" w:themeFill="background1" w:themeFillShade="F2"/>
          </w:tcPr>
          <w:p w14:paraId="346A8704" w14:textId="77777777" w:rsidR="003C70ED" w:rsidRDefault="003C70ED" w:rsidP="003C3C71">
            <w:pPr>
              <w:rPr>
                <w:b/>
              </w:rPr>
            </w:pPr>
          </w:p>
        </w:tc>
        <w:tc>
          <w:tcPr>
            <w:tcW w:w="7514" w:type="dxa"/>
            <w:shd w:val="clear" w:color="auto" w:fill="F2F2F2" w:themeFill="background1" w:themeFillShade="F2"/>
          </w:tcPr>
          <w:p w14:paraId="75CA6ABC" w14:textId="77777777" w:rsidR="003C70ED" w:rsidRPr="003C70ED" w:rsidRDefault="003C70ED" w:rsidP="003C3C71">
            <w:pPr>
              <w:rPr>
                <w:b/>
              </w:rPr>
            </w:pPr>
            <w:r w:rsidRPr="003C70ED">
              <w:rPr>
                <w:b/>
              </w:rPr>
              <w:t>Risk Assessments</w:t>
            </w:r>
          </w:p>
        </w:tc>
        <w:tc>
          <w:tcPr>
            <w:tcW w:w="850" w:type="dxa"/>
            <w:shd w:val="clear" w:color="auto" w:fill="F2F2F2" w:themeFill="background1" w:themeFillShade="F2"/>
          </w:tcPr>
          <w:p w14:paraId="716D96AB" w14:textId="77777777" w:rsidR="003C70ED" w:rsidRPr="00987F69" w:rsidRDefault="003C70ED" w:rsidP="003C3C71">
            <w:pPr>
              <w:rPr>
                <w:b/>
                <w:color w:val="FF0000"/>
                <w:sz w:val="24"/>
                <w:szCs w:val="24"/>
              </w:rPr>
            </w:pPr>
          </w:p>
        </w:tc>
        <w:tc>
          <w:tcPr>
            <w:tcW w:w="992" w:type="dxa"/>
            <w:shd w:val="clear" w:color="auto" w:fill="F2F2F2" w:themeFill="background1" w:themeFillShade="F2"/>
          </w:tcPr>
          <w:p w14:paraId="143A1F60" w14:textId="77777777" w:rsidR="003C70ED" w:rsidRPr="00987F69" w:rsidRDefault="003C70ED" w:rsidP="003C3C71">
            <w:pPr>
              <w:rPr>
                <w:b/>
                <w:color w:val="FF0000"/>
                <w:sz w:val="24"/>
                <w:szCs w:val="24"/>
              </w:rPr>
            </w:pPr>
          </w:p>
        </w:tc>
        <w:tc>
          <w:tcPr>
            <w:tcW w:w="993" w:type="dxa"/>
            <w:shd w:val="clear" w:color="auto" w:fill="F2F2F2" w:themeFill="background1" w:themeFillShade="F2"/>
          </w:tcPr>
          <w:p w14:paraId="14D26617" w14:textId="77777777" w:rsidR="003C70ED" w:rsidRPr="00987F69" w:rsidRDefault="003C70ED" w:rsidP="003C3C71">
            <w:pPr>
              <w:rPr>
                <w:b/>
                <w:color w:val="FF0000"/>
                <w:sz w:val="24"/>
                <w:szCs w:val="24"/>
              </w:rPr>
            </w:pPr>
          </w:p>
        </w:tc>
      </w:tr>
      <w:tr w:rsidR="003C70ED" w:rsidRPr="00987F69" w14:paraId="682D1CB7" w14:textId="77777777" w:rsidTr="003C3C71">
        <w:tc>
          <w:tcPr>
            <w:tcW w:w="709" w:type="dxa"/>
          </w:tcPr>
          <w:p w14:paraId="21DC77F4" w14:textId="77777777" w:rsidR="003C70ED" w:rsidRDefault="00410FAB" w:rsidP="003C3C71">
            <w:pPr>
              <w:rPr>
                <w:b/>
              </w:rPr>
            </w:pPr>
            <w:r>
              <w:rPr>
                <w:b/>
                <w:sz w:val="20"/>
              </w:rPr>
              <w:t>25</w:t>
            </w:r>
          </w:p>
        </w:tc>
        <w:tc>
          <w:tcPr>
            <w:tcW w:w="7514" w:type="dxa"/>
          </w:tcPr>
          <w:p w14:paraId="21F28CD5" w14:textId="77777777" w:rsidR="003C70ED" w:rsidRDefault="003C70ED" w:rsidP="003C3C71">
            <w:pPr>
              <w:rPr>
                <w:lang w:eastAsia="en-US"/>
              </w:rPr>
            </w:pPr>
            <w:r>
              <w:t xml:space="preserve">Are the results of the risk assessment communicated to all relevant employees and all who come in contact with </w:t>
            </w:r>
            <w:r w:rsidR="0042684E">
              <w:t>HSE</w:t>
            </w:r>
            <w:r>
              <w:t xml:space="preserve"> services and activities? </w:t>
            </w:r>
          </w:p>
        </w:tc>
        <w:tc>
          <w:tcPr>
            <w:tcW w:w="850" w:type="dxa"/>
          </w:tcPr>
          <w:p w14:paraId="71117BE7" w14:textId="77777777" w:rsidR="003C70ED" w:rsidRPr="00987F69" w:rsidRDefault="003C70ED" w:rsidP="003C3C71">
            <w:pPr>
              <w:rPr>
                <w:b/>
                <w:color w:val="FF0000"/>
                <w:sz w:val="24"/>
                <w:szCs w:val="24"/>
              </w:rPr>
            </w:pPr>
          </w:p>
        </w:tc>
        <w:tc>
          <w:tcPr>
            <w:tcW w:w="992" w:type="dxa"/>
          </w:tcPr>
          <w:p w14:paraId="46CB336B" w14:textId="77777777" w:rsidR="003C70ED" w:rsidRPr="00987F69" w:rsidRDefault="003C70ED" w:rsidP="003C3C71">
            <w:pPr>
              <w:rPr>
                <w:b/>
                <w:color w:val="FF0000"/>
                <w:sz w:val="24"/>
                <w:szCs w:val="24"/>
              </w:rPr>
            </w:pPr>
          </w:p>
        </w:tc>
        <w:tc>
          <w:tcPr>
            <w:tcW w:w="993" w:type="dxa"/>
          </w:tcPr>
          <w:p w14:paraId="7C807C4A" w14:textId="77777777" w:rsidR="003C70ED" w:rsidRPr="00987F69" w:rsidRDefault="003C70ED" w:rsidP="003C3C71">
            <w:pPr>
              <w:rPr>
                <w:b/>
                <w:color w:val="FF0000"/>
                <w:sz w:val="24"/>
                <w:szCs w:val="24"/>
              </w:rPr>
            </w:pPr>
          </w:p>
        </w:tc>
      </w:tr>
      <w:tr w:rsidR="003C70ED" w:rsidRPr="00987F69" w14:paraId="685A77F7" w14:textId="77777777" w:rsidTr="003C3C71">
        <w:tc>
          <w:tcPr>
            <w:tcW w:w="709" w:type="dxa"/>
          </w:tcPr>
          <w:p w14:paraId="25B37FCF" w14:textId="77777777" w:rsidR="003C70ED" w:rsidRDefault="00410FAB" w:rsidP="003C3C71">
            <w:pPr>
              <w:rPr>
                <w:b/>
              </w:rPr>
            </w:pPr>
            <w:r>
              <w:rPr>
                <w:b/>
                <w:sz w:val="20"/>
              </w:rPr>
              <w:t>26</w:t>
            </w:r>
          </w:p>
        </w:tc>
        <w:tc>
          <w:tcPr>
            <w:tcW w:w="7514" w:type="dxa"/>
          </w:tcPr>
          <w:p w14:paraId="723AEE2E" w14:textId="77777777" w:rsidR="003C70ED" w:rsidRDefault="003C70ED" w:rsidP="00E70A24">
            <w:r>
              <w:t xml:space="preserve">Are risk assessments reviewed at least annually or more frequently if </w:t>
            </w:r>
            <w:r w:rsidR="00E70A24">
              <w:t xml:space="preserve">necessary, i.e. </w:t>
            </w:r>
            <w:r>
              <w:t xml:space="preserve">accident/incident </w:t>
            </w:r>
            <w:r w:rsidR="00E70A24">
              <w:t>or a change in circumstance to which they relate</w:t>
            </w:r>
            <w:r w:rsidR="00B8079A">
              <w:t xml:space="preserve">? </w:t>
            </w:r>
            <w:r w:rsidR="00E70A24">
              <w:t xml:space="preserve"> </w:t>
            </w:r>
          </w:p>
        </w:tc>
        <w:tc>
          <w:tcPr>
            <w:tcW w:w="850" w:type="dxa"/>
          </w:tcPr>
          <w:p w14:paraId="59D04D93" w14:textId="77777777" w:rsidR="003C70ED" w:rsidRPr="00987F69" w:rsidRDefault="003C70ED" w:rsidP="003C3C71">
            <w:pPr>
              <w:rPr>
                <w:b/>
                <w:color w:val="FF0000"/>
                <w:sz w:val="24"/>
                <w:szCs w:val="24"/>
              </w:rPr>
            </w:pPr>
          </w:p>
        </w:tc>
        <w:tc>
          <w:tcPr>
            <w:tcW w:w="992" w:type="dxa"/>
          </w:tcPr>
          <w:p w14:paraId="273CEBC7" w14:textId="77777777" w:rsidR="003C70ED" w:rsidRPr="00987F69" w:rsidRDefault="003C70ED" w:rsidP="003C3C71">
            <w:pPr>
              <w:rPr>
                <w:b/>
                <w:color w:val="FF0000"/>
                <w:sz w:val="24"/>
                <w:szCs w:val="24"/>
              </w:rPr>
            </w:pPr>
          </w:p>
        </w:tc>
        <w:tc>
          <w:tcPr>
            <w:tcW w:w="993" w:type="dxa"/>
          </w:tcPr>
          <w:p w14:paraId="672DEFEE" w14:textId="77777777" w:rsidR="003C70ED" w:rsidRPr="00987F69" w:rsidRDefault="003C70ED" w:rsidP="003C3C71">
            <w:pPr>
              <w:rPr>
                <w:b/>
                <w:color w:val="FF0000"/>
                <w:sz w:val="24"/>
                <w:szCs w:val="24"/>
              </w:rPr>
            </w:pPr>
          </w:p>
        </w:tc>
      </w:tr>
    </w:tbl>
    <w:p w14:paraId="71B93E41" w14:textId="77777777" w:rsidR="0073479F" w:rsidRPr="00EA0FF9" w:rsidRDefault="0073479F" w:rsidP="00410FAB"/>
    <w:sectPr w:rsidR="0073479F" w:rsidRPr="00EA0FF9" w:rsidSect="00410FAB">
      <w:headerReference w:type="default" r:id="rId16"/>
      <w:footerReference w:type="default" r:id="rId17"/>
      <w:pgSz w:w="11906" w:h="16838"/>
      <w:pgMar w:top="1135" w:right="1440" w:bottom="1440" w:left="1440"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015C4C" w14:textId="77777777" w:rsidR="003C3C71" w:rsidRDefault="003C3C71" w:rsidP="00212856">
      <w:pPr>
        <w:spacing w:after="0" w:line="240" w:lineRule="auto"/>
      </w:pPr>
      <w:r>
        <w:separator/>
      </w:r>
    </w:p>
  </w:endnote>
  <w:endnote w:type="continuationSeparator" w:id="0">
    <w:p w14:paraId="70F597A3" w14:textId="77777777" w:rsidR="003C3C71" w:rsidRDefault="003C3C71" w:rsidP="00212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0494F" w14:textId="1F4C04CE" w:rsidR="003C3C71" w:rsidRPr="00C90549" w:rsidRDefault="00C90549">
    <w:pPr>
      <w:pStyle w:val="Footer"/>
      <w:pBdr>
        <w:top w:val="thinThickSmallGap" w:sz="24" w:space="1" w:color="622423" w:themeColor="accent2" w:themeShade="7F"/>
      </w:pBdr>
      <w:rPr>
        <w:rFonts w:asciiTheme="majorHAnsi" w:eastAsiaTheme="majorEastAsia" w:hAnsiTheme="majorHAnsi" w:cstheme="majorBidi"/>
        <w:sz w:val="18"/>
        <w:szCs w:val="18"/>
      </w:rPr>
    </w:pPr>
    <w:r>
      <w:rPr>
        <w:rFonts w:asciiTheme="majorHAnsi" w:eastAsiaTheme="majorEastAsia" w:hAnsiTheme="majorHAnsi" w:cstheme="majorBidi"/>
        <w:sz w:val="18"/>
        <w:szCs w:val="18"/>
      </w:rPr>
      <w:t xml:space="preserve">20 06 30 </w:t>
    </w:r>
    <w:r w:rsidR="00997067" w:rsidRPr="00C90549">
      <w:rPr>
        <w:rFonts w:asciiTheme="majorHAnsi" w:eastAsiaTheme="majorEastAsia" w:hAnsiTheme="majorHAnsi" w:cstheme="majorBidi"/>
        <w:sz w:val="18"/>
        <w:szCs w:val="18"/>
      </w:rPr>
      <w:t xml:space="preserve">PS: 029:01 </w:t>
    </w:r>
    <w:r w:rsidR="003C3C71" w:rsidRPr="00C90549">
      <w:rPr>
        <w:rFonts w:asciiTheme="majorHAnsi" w:eastAsiaTheme="majorEastAsia" w:hAnsiTheme="majorHAnsi" w:cstheme="majorBidi"/>
        <w:sz w:val="18"/>
        <w:szCs w:val="18"/>
      </w:rPr>
      <w:t>Use of Sharps</w:t>
    </w:r>
    <w:r w:rsidR="003C3C71" w:rsidRPr="00C90549">
      <w:rPr>
        <w:rFonts w:asciiTheme="majorHAnsi" w:eastAsiaTheme="majorEastAsia" w:hAnsiTheme="majorHAnsi" w:cstheme="majorBidi"/>
        <w:sz w:val="18"/>
        <w:szCs w:val="18"/>
      </w:rPr>
      <w:ptab w:relativeTo="margin" w:alignment="right" w:leader="none"/>
    </w:r>
    <w:r w:rsidR="003C3C71" w:rsidRPr="00C90549">
      <w:rPr>
        <w:rFonts w:asciiTheme="majorHAnsi" w:eastAsiaTheme="majorEastAsia" w:hAnsiTheme="majorHAnsi" w:cstheme="majorBidi"/>
        <w:sz w:val="18"/>
        <w:szCs w:val="18"/>
      </w:rPr>
      <w:t xml:space="preserve">Page </w:t>
    </w:r>
    <w:r w:rsidR="003C3C71" w:rsidRPr="00C90549">
      <w:rPr>
        <w:sz w:val="18"/>
        <w:szCs w:val="18"/>
      </w:rPr>
      <w:fldChar w:fldCharType="begin"/>
    </w:r>
    <w:r w:rsidR="003C3C71" w:rsidRPr="00C90549">
      <w:rPr>
        <w:sz w:val="18"/>
        <w:szCs w:val="18"/>
      </w:rPr>
      <w:instrText xml:space="preserve"> PAGE   \* MERGEFORMAT </w:instrText>
    </w:r>
    <w:r w:rsidR="003C3C71" w:rsidRPr="00C90549">
      <w:rPr>
        <w:sz w:val="18"/>
        <w:szCs w:val="18"/>
      </w:rPr>
      <w:fldChar w:fldCharType="separate"/>
    </w:r>
    <w:r w:rsidR="00B60FE5" w:rsidRPr="00B60FE5">
      <w:rPr>
        <w:rFonts w:asciiTheme="majorHAnsi" w:eastAsiaTheme="majorEastAsia" w:hAnsiTheme="majorHAnsi" w:cstheme="majorBidi"/>
        <w:noProof/>
        <w:sz w:val="18"/>
        <w:szCs w:val="18"/>
      </w:rPr>
      <w:t>2</w:t>
    </w:r>
    <w:r w:rsidR="003C3C71" w:rsidRPr="00C90549">
      <w:rPr>
        <w:rFonts w:asciiTheme="majorHAnsi" w:eastAsiaTheme="majorEastAsia" w:hAnsiTheme="majorHAnsi" w:cstheme="majorBidi"/>
        <w:noProof/>
        <w:sz w:val="18"/>
        <w:szCs w:val="18"/>
      </w:rPr>
      <w:fldChar w:fldCharType="end"/>
    </w:r>
  </w:p>
  <w:p w14:paraId="2E991240" w14:textId="77777777" w:rsidR="003C3C71" w:rsidRDefault="003C3C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86BEC9" w14:textId="77777777" w:rsidR="003C3C71" w:rsidRDefault="003C3C71" w:rsidP="00212856">
      <w:pPr>
        <w:spacing w:after="0" w:line="240" w:lineRule="auto"/>
      </w:pPr>
      <w:r>
        <w:separator/>
      </w:r>
    </w:p>
  </w:footnote>
  <w:footnote w:type="continuationSeparator" w:id="0">
    <w:p w14:paraId="44979E8A" w14:textId="77777777" w:rsidR="003C3C71" w:rsidRDefault="003C3C71" w:rsidP="002128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5C684" w14:textId="77777777" w:rsidR="00410FAB" w:rsidRPr="00410FAB" w:rsidRDefault="00410FAB" w:rsidP="00410FAB">
    <w:pPr>
      <w:jc w:val="center"/>
      <w:rPr>
        <w:rFonts w:ascii="Calibri" w:hAnsi="Calibri" w:cs="Calibri"/>
        <w:b/>
        <w:bCs/>
        <w:i/>
        <w:color w:val="C0504D"/>
        <w:sz w:val="18"/>
        <w:szCs w:val="20"/>
      </w:rPr>
    </w:pPr>
    <w:r w:rsidRPr="003E781E">
      <w:rPr>
        <w:rFonts w:ascii="Calibri" w:hAnsi="Calibri" w:cs="Calibri"/>
        <w:b/>
        <w:noProof/>
        <w:color w:val="984806"/>
        <w:sz w:val="18"/>
        <w:szCs w:val="20"/>
      </w:rPr>
      <w:drawing>
        <wp:inline distT="0" distB="0" distL="0" distR="0" wp14:anchorId="18431D3E" wp14:editId="61C58B7E">
          <wp:extent cx="619760" cy="6654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760" cy="665480"/>
                  </a:xfrm>
                  <a:prstGeom prst="rect">
                    <a:avLst/>
                  </a:prstGeom>
                  <a:noFill/>
                </pic:spPr>
              </pic:pic>
            </a:graphicData>
          </a:graphic>
        </wp:inline>
      </w:drawing>
    </w:r>
    <w:r w:rsidRPr="003E781E">
      <w:rPr>
        <w:rFonts w:ascii="Calibri" w:hAnsi="Calibri" w:cs="Calibri"/>
        <w:b/>
        <w:color w:val="984806"/>
        <w:sz w:val="18"/>
        <w:szCs w:val="20"/>
      </w:rPr>
      <w:t xml:space="preserve">  National Health and Safety Function, Workplace Health and Wellbeing Unit, </w:t>
    </w:r>
    <w:r w:rsidRPr="003E781E">
      <w:rPr>
        <w:rFonts w:ascii="Calibri" w:hAnsi="Calibri" w:cs="Calibri"/>
        <w:b/>
        <w:sz w:val="18"/>
        <w:szCs w:val="20"/>
      </w:rPr>
      <w:t>National HR Division</w:t>
    </w:r>
    <w:r w:rsidRPr="003E781E">
      <w:rPr>
        <w:rFonts w:ascii="Calibri" w:hAnsi="Calibri" w:cs="Calibri"/>
        <w:b/>
        <w:color w:val="984806"/>
        <w:sz w:val="18"/>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4AA6"/>
    <w:multiLevelType w:val="hybridMultilevel"/>
    <w:tmpl w:val="335EFD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D3556F2"/>
    <w:multiLevelType w:val="hybridMultilevel"/>
    <w:tmpl w:val="7EFC30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4A4167C4"/>
    <w:multiLevelType w:val="hybridMultilevel"/>
    <w:tmpl w:val="24C295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2"/>
  </w:compat>
  <w:rsids>
    <w:rsidRoot w:val="00212856"/>
    <w:rsid w:val="000009DE"/>
    <w:rsid w:val="00026D8B"/>
    <w:rsid w:val="00045796"/>
    <w:rsid w:val="0005393F"/>
    <w:rsid w:val="00063696"/>
    <w:rsid w:val="00071240"/>
    <w:rsid w:val="00072779"/>
    <w:rsid w:val="00095B57"/>
    <w:rsid w:val="000B1470"/>
    <w:rsid w:val="000C38A6"/>
    <w:rsid w:val="000F14F7"/>
    <w:rsid w:val="0011060D"/>
    <w:rsid w:val="001322FC"/>
    <w:rsid w:val="00145EB5"/>
    <w:rsid w:val="001628C2"/>
    <w:rsid w:val="00175C95"/>
    <w:rsid w:val="00176823"/>
    <w:rsid w:val="001972B4"/>
    <w:rsid w:val="001C0D3F"/>
    <w:rsid w:val="001D2008"/>
    <w:rsid w:val="002011CC"/>
    <w:rsid w:val="00212260"/>
    <w:rsid w:val="00212856"/>
    <w:rsid w:val="0024267A"/>
    <w:rsid w:val="00261EF7"/>
    <w:rsid w:val="00266BA5"/>
    <w:rsid w:val="00295BA6"/>
    <w:rsid w:val="002C34C3"/>
    <w:rsid w:val="0030449D"/>
    <w:rsid w:val="0031781C"/>
    <w:rsid w:val="00350FE1"/>
    <w:rsid w:val="00371B24"/>
    <w:rsid w:val="003B2CFB"/>
    <w:rsid w:val="003C3C71"/>
    <w:rsid w:val="003C70ED"/>
    <w:rsid w:val="003F2A7F"/>
    <w:rsid w:val="00405E77"/>
    <w:rsid w:val="00410FAB"/>
    <w:rsid w:val="004148CF"/>
    <w:rsid w:val="00421B83"/>
    <w:rsid w:val="0042684E"/>
    <w:rsid w:val="004271EB"/>
    <w:rsid w:val="00435570"/>
    <w:rsid w:val="00436807"/>
    <w:rsid w:val="00450066"/>
    <w:rsid w:val="0045753B"/>
    <w:rsid w:val="0046525D"/>
    <w:rsid w:val="004703C6"/>
    <w:rsid w:val="00497D1F"/>
    <w:rsid w:val="004A6969"/>
    <w:rsid w:val="004C1D9B"/>
    <w:rsid w:val="004E640A"/>
    <w:rsid w:val="004E710D"/>
    <w:rsid w:val="004F46C2"/>
    <w:rsid w:val="0050639A"/>
    <w:rsid w:val="005127CC"/>
    <w:rsid w:val="005534A8"/>
    <w:rsid w:val="0057340B"/>
    <w:rsid w:val="00575E47"/>
    <w:rsid w:val="00586F5B"/>
    <w:rsid w:val="005966AC"/>
    <w:rsid w:val="005C0262"/>
    <w:rsid w:val="00610DB2"/>
    <w:rsid w:val="006159C2"/>
    <w:rsid w:val="00623397"/>
    <w:rsid w:val="00670887"/>
    <w:rsid w:val="00694F5A"/>
    <w:rsid w:val="006D0D71"/>
    <w:rsid w:val="006F298E"/>
    <w:rsid w:val="00707856"/>
    <w:rsid w:val="00711296"/>
    <w:rsid w:val="0073479F"/>
    <w:rsid w:val="007913F2"/>
    <w:rsid w:val="007A377A"/>
    <w:rsid w:val="007D078B"/>
    <w:rsid w:val="007D6AD6"/>
    <w:rsid w:val="007E4C9F"/>
    <w:rsid w:val="00813C33"/>
    <w:rsid w:val="008273D6"/>
    <w:rsid w:val="00855260"/>
    <w:rsid w:val="0088318E"/>
    <w:rsid w:val="00893DFF"/>
    <w:rsid w:val="008947F1"/>
    <w:rsid w:val="008A166B"/>
    <w:rsid w:val="008B4EC8"/>
    <w:rsid w:val="0090385F"/>
    <w:rsid w:val="00905AB3"/>
    <w:rsid w:val="00906540"/>
    <w:rsid w:val="00917D11"/>
    <w:rsid w:val="009202A6"/>
    <w:rsid w:val="00952E1B"/>
    <w:rsid w:val="009700C2"/>
    <w:rsid w:val="00997067"/>
    <w:rsid w:val="009A7259"/>
    <w:rsid w:val="009B3653"/>
    <w:rsid w:val="009C698E"/>
    <w:rsid w:val="009E663C"/>
    <w:rsid w:val="009F590A"/>
    <w:rsid w:val="00A02D0D"/>
    <w:rsid w:val="00A2683D"/>
    <w:rsid w:val="00A323D6"/>
    <w:rsid w:val="00A77761"/>
    <w:rsid w:val="00AB36E4"/>
    <w:rsid w:val="00AF2E8F"/>
    <w:rsid w:val="00AF310D"/>
    <w:rsid w:val="00B56726"/>
    <w:rsid w:val="00B60FE5"/>
    <w:rsid w:val="00B8079A"/>
    <w:rsid w:val="00BD36C3"/>
    <w:rsid w:val="00BE2712"/>
    <w:rsid w:val="00C1090C"/>
    <w:rsid w:val="00C23A44"/>
    <w:rsid w:val="00C23D39"/>
    <w:rsid w:val="00C4766A"/>
    <w:rsid w:val="00C62BAD"/>
    <w:rsid w:val="00C84176"/>
    <w:rsid w:val="00C90549"/>
    <w:rsid w:val="00C95A69"/>
    <w:rsid w:val="00CD3823"/>
    <w:rsid w:val="00CF11D1"/>
    <w:rsid w:val="00D11E03"/>
    <w:rsid w:val="00D126DE"/>
    <w:rsid w:val="00D67E56"/>
    <w:rsid w:val="00E06D34"/>
    <w:rsid w:val="00E10DD8"/>
    <w:rsid w:val="00E26C48"/>
    <w:rsid w:val="00E420F1"/>
    <w:rsid w:val="00E51857"/>
    <w:rsid w:val="00E561AF"/>
    <w:rsid w:val="00E60045"/>
    <w:rsid w:val="00E70A24"/>
    <w:rsid w:val="00E9123A"/>
    <w:rsid w:val="00EA0FF9"/>
    <w:rsid w:val="00ED5029"/>
    <w:rsid w:val="00F76F7E"/>
    <w:rsid w:val="00F84259"/>
    <w:rsid w:val="00FB456A"/>
    <w:rsid w:val="00FC76A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2855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6C3"/>
  </w:style>
  <w:style w:type="paragraph" w:styleId="Heading8">
    <w:name w:val="heading 8"/>
    <w:basedOn w:val="Normal"/>
    <w:next w:val="Normal"/>
    <w:link w:val="Heading8Char"/>
    <w:qFormat/>
    <w:rsid w:val="00E60045"/>
    <w:pPr>
      <w:spacing w:before="240" w:after="60" w:line="240" w:lineRule="auto"/>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2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28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2856"/>
    <w:rPr>
      <w:rFonts w:eastAsiaTheme="minorEastAsia"/>
      <w:lang w:eastAsia="en-IE"/>
    </w:rPr>
  </w:style>
  <w:style w:type="paragraph" w:styleId="Footer">
    <w:name w:val="footer"/>
    <w:basedOn w:val="Normal"/>
    <w:link w:val="FooterChar"/>
    <w:uiPriority w:val="99"/>
    <w:unhideWhenUsed/>
    <w:rsid w:val="002128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2856"/>
    <w:rPr>
      <w:rFonts w:eastAsiaTheme="minorEastAsia"/>
      <w:lang w:eastAsia="en-IE"/>
    </w:rPr>
  </w:style>
  <w:style w:type="paragraph" w:styleId="BalloonText">
    <w:name w:val="Balloon Text"/>
    <w:basedOn w:val="Normal"/>
    <w:link w:val="BalloonTextChar"/>
    <w:uiPriority w:val="99"/>
    <w:semiHidden/>
    <w:unhideWhenUsed/>
    <w:rsid w:val="004575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53B"/>
    <w:rPr>
      <w:rFonts w:ascii="Tahoma" w:eastAsiaTheme="minorEastAsia" w:hAnsi="Tahoma" w:cs="Tahoma"/>
      <w:sz w:val="16"/>
      <w:szCs w:val="16"/>
      <w:lang w:eastAsia="en-IE"/>
    </w:rPr>
  </w:style>
  <w:style w:type="paragraph" w:styleId="FootnoteText">
    <w:name w:val="footnote text"/>
    <w:basedOn w:val="Normal"/>
    <w:link w:val="FootnoteTextChar"/>
    <w:uiPriority w:val="99"/>
    <w:semiHidden/>
    <w:unhideWhenUsed/>
    <w:rsid w:val="00670887"/>
    <w:pPr>
      <w:spacing w:after="0" w:line="240" w:lineRule="auto"/>
    </w:pPr>
    <w:rPr>
      <w:rFonts w:ascii="Verdana" w:eastAsia="Times New Roman" w:hAnsi="Verdana" w:cs="Arial"/>
      <w:bCs/>
      <w:iCs/>
      <w:sz w:val="20"/>
      <w:szCs w:val="20"/>
      <w:lang w:val="en-GB" w:eastAsia="en-GB"/>
    </w:rPr>
  </w:style>
  <w:style w:type="character" w:customStyle="1" w:styleId="FootnoteTextChar">
    <w:name w:val="Footnote Text Char"/>
    <w:basedOn w:val="DefaultParagraphFont"/>
    <w:link w:val="FootnoteText"/>
    <w:uiPriority w:val="99"/>
    <w:semiHidden/>
    <w:rsid w:val="00670887"/>
    <w:rPr>
      <w:rFonts w:ascii="Verdana" w:eastAsia="Times New Roman" w:hAnsi="Verdana" w:cs="Arial"/>
      <w:bCs/>
      <w:iCs/>
      <w:sz w:val="20"/>
      <w:szCs w:val="20"/>
      <w:lang w:val="en-GB" w:eastAsia="en-GB"/>
    </w:rPr>
  </w:style>
  <w:style w:type="character" w:styleId="FootnoteReference">
    <w:name w:val="footnote reference"/>
    <w:basedOn w:val="DefaultParagraphFont"/>
    <w:uiPriority w:val="99"/>
    <w:semiHidden/>
    <w:unhideWhenUsed/>
    <w:rsid w:val="00670887"/>
    <w:rPr>
      <w:vertAlign w:val="superscript"/>
    </w:rPr>
  </w:style>
  <w:style w:type="paragraph" w:styleId="ListParagraph">
    <w:name w:val="List Paragraph"/>
    <w:basedOn w:val="Normal"/>
    <w:uiPriority w:val="34"/>
    <w:qFormat/>
    <w:rsid w:val="003F2A7F"/>
    <w:pPr>
      <w:ind w:left="720"/>
      <w:contextualSpacing/>
    </w:pPr>
  </w:style>
  <w:style w:type="character" w:customStyle="1" w:styleId="Heading8Char">
    <w:name w:val="Heading 8 Char"/>
    <w:basedOn w:val="DefaultParagraphFont"/>
    <w:link w:val="Heading8"/>
    <w:rsid w:val="00E60045"/>
    <w:rPr>
      <w:rFonts w:ascii="Times New Roman" w:eastAsia="Times New Roman" w:hAnsi="Times New Roman" w:cs="Times New Roman"/>
      <w:i/>
      <w:iCs/>
      <w:sz w:val="24"/>
      <w:szCs w:val="24"/>
    </w:rPr>
  </w:style>
  <w:style w:type="character" w:styleId="CommentReference">
    <w:name w:val="annotation reference"/>
    <w:basedOn w:val="DefaultParagraphFont"/>
    <w:uiPriority w:val="99"/>
    <w:semiHidden/>
    <w:unhideWhenUsed/>
    <w:rsid w:val="00436807"/>
    <w:rPr>
      <w:sz w:val="16"/>
      <w:szCs w:val="16"/>
    </w:rPr>
  </w:style>
  <w:style w:type="paragraph" w:styleId="CommentText">
    <w:name w:val="annotation text"/>
    <w:basedOn w:val="Normal"/>
    <w:link w:val="CommentTextChar"/>
    <w:uiPriority w:val="99"/>
    <w:semiHidden/>
    <w:unhideWhenUsed/>
    <w:rsid w:val="00436807"/>
    <w:pPr>
      <w:spacing w:line="240" w:lineRule="auto"/>
    </w:pPr>
    <w:rPr>
      <w:sz w:val="20"/>
      <w:szCs w:val="20"/>
    </w:rPr>
  </w:style>
  <w:style w:type="character" w:customStyle="1" w:styleId="CommentTextChar">
    <w:name w:val="Comment Text Char"/>
    <w:basedOn w:val="DefaultParagraphFont"/>
    <w:link w:val="CommentText"/>
    <w:uiPriority w:val="99"/>
    <w:semiHidden/>
    <w:rsid w:val="00436807"/>
    <w:rPr>
      <w:sz w:val="20"/>
      <w:szCs w:val="20"/>
    </w:rPr>
  </w:style>
  <w:style w:type="paragraph" w:styleId="CommentSubject">
    <w:name w:val="annotation subject"/>
    <w:basedOn w:val="CommentText"/>
    <w:next w:val="CommentText"/>
    <w:link w:val="CommentSubjectChar"/>
    <w:uiPriority w:val="99"/>
    <w:semiHidden/>
    <w:unhideWhenUsed/>
    <w:rsid w:val="00436807"/>
    <w:rPr>
      <w:b/>
      <w:bCs/>
    </w:rPr>
  </w:style>
  <w:style w:type="character" w:customStyle="1" w:styleId="CommentSubjectChar">
    <w:name w:val="Comment Subject Char"/>
    <w:basedOn w:val="CommentTextChar"/>
    <w:link w:val="CommentSubject"/>
    <w:uiPriority w:val="99"/>
    <w:semiHidden/>
    <w:rsid w:val="00436807"/>
    <w:rPr>
      <w:b/>
      <w:bCs/>
      <w:sz w:val="20"/>
      <w:szCs w:val="20"/>
    </w:rPr>
  </w:style>
  <w:style w:type="paragraph" w:styleId="Revision">
    <w:name w:val="Revision"/>
    <w:hidden/>
    <w:uiPriority w:val="99"/>
    <w:semiHidden/>
    <w:rsid w:val="0011060D"/>
    <w:pPr>
      <w:spacing w:after="0" w:line="240" w:lineRule="auto"/>
    </w:pPr>
  </w:style>
  <w:style w:type="character" w:styleId="Hyperlink">
    <w:name w:val="Hyperlink"/>
    <w:basedOn w:val="DefaultParagraphFont"/>
    <w:uiPriority w:val="99"/>
    <w:unhideWhenUsed/>
    <w:rsid w:val="005063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ealthservice.hse.ie/filelibrary/staff/guideline-on-completing-occupational-safety-and-health-risk-assessment.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healthservice.hse.ie/staff/benefits-services/health-and-safety/safe-use-of-sharps.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ealthservice.hse.ie/filelibrary/staff/policy-on-the-management-of-sharps-and-prevention-of-sharp-injuries.pdf" TargetMode="Externa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033C77-859F-4B50-8BCA-A4FA38633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O'Hanlon, Kathleen</cp:lastModifiedBy>
  <cp:revision>15</cp:revision>
  <cp:lastPrinted>2017-05-26T10:50:00Z</cp:lastPrinted>
  <dcterms:created xsi:type="dcterms:W3CDTF">2020-03-26T16:01:00Z</dcterms:created>
  <dcterms:modified xsi:type="dcterms:W3CDTF">2021-01-15T10:50:00Z</dcterms:modified>
</cp:coreProperties>
</file>