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D2" w:rsidRDefault="003970D2" w:rsidP="002B2081">
      <w:pPr>
        <w:pStyle w:val="NoSpacing"/>
      </w:pPr>
    </w:p>
    <w:tbl>
      <w:tblPr>
        <w:tblpPr w:leftFromText="180" w:rightFromText="180" w:vertAnchor="text" w:horzAnchor="margin" w:tblpX="74" w:tblpY="5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0"/>
        <w:gridCol w:w="2170"/>
        <w:gridCol w:w="7851"/>
      </w:tblGrid>
      <w:tr w:rsidR="003970D2" w:rsidTr="00C53A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Pr="00A24FE5" w:rsidRDefault="0050612A" w:rsidP="00A24FE5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B027FE7" wp14:editId="29F1AFE3">
                  <wp:extent cx="8667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2" cy="7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</w:tcPr>
          <w:p w:rsidR="003970D2" w:rsidRDefault="003970D2" w:rsidP="00150DD6">
            <w:pPr>
              <w:jc w:val="both"/>
              <w:rPr>
                <w:rFonts w:ascii="Calibri" w:hAnsi="Calibri"/>
                <w:b/>
                <w:color w:val="FFFFFF"/>
              </w:rPr>
            </w:pPr>
          </w:p>
          <w:p w:rsidR="003970D2" w:rsidRDefault="003970D2" w:rsidP="00150DD6">
            <w:pPr>
              <w:jc w:val="both"/>
              <w:rPr>
                <w:rFonts w:ascii="Calibri" w:hAnsi="Calibri"/>
                <w:b/>
                <w:color w:val="FFFFFF"/>
                <w:sz w:val="52"/>
                <w:szCs w:val="52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Health &amp; Safety Risk Assessment Form</w:t>
            </w:r>
          </w:p>
          <w:p w:rsidR="003970D2" w:rsidRDefault="003970D2" w:rsidP="00150DD6">
            <w:pPr>
              <w:jc w:val="both"/>
              <w:rPr>
                <w:rFonts w:ascii="Calibri" w:hAnsi="Calibri"/>
                <w:b/>
                <w:color w:val="FFFFFF"/>
              </w:rPr>
            </w:pPr>
          </w:p>
        </w:tc>
      </w:tr>
      <w:tr w:rsidR="003970D2" w:rsidTr="00C53A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0D2" w:rsidRDefault="00C53A46" w:rsidP="00CE44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Ref:</w:t>
            </w:r>
            <w:r w:rsidR="00D17EFD" w:rsidRPr="002B2081">
              <w:rPr>
                <w:rFonts w:ascii="Calibri" w:hAnsi="Calibri" w:cs="Calibri"/>
                <w:b/>
                <w:sz w:val="22"/>
                <w:szCs w:val="22"/>
              </w:rPr>
              <w:t>CF:005:07:T</w:t>
            </w:r>
            <w:r w:rsidR="00D17EFD" w:rsidDel="00CE44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hideMark/>
          </w:tcPr>
          <w:p w:rsidR="003970D2" w:rsidRDefault="00F10D8B" w:rsidP="00F72573">
            <w:pPr>
              <w:jc w:val="both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RE:</w:t>
            </w:r>
            <w:r w:rsidR="003970D2"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Gener</w:t>
            </w:r>
            <w:r w:rsidR="00D17EFD">
              <w:rPr>
                <w:rFonts w:ascii="Calibri" w:hAnsi="Calibri"/>
                <w:b/>
                <w:color w:val="FFFFFF"/>
              </w:rPr>
              <w:t>ic</w:t>
            </w:r>
            <w:r>
              <w:rPr>
                <w:rFonts w:ascii="Calibri" w:hAnsi="Calibri"/>
                <w:b/>
                <w:color w:val="FFFFFF"/>
              </w:rPr>
              <w:t xml:space="preserve"> Risk Assessment Form</w:t>
            </w:r>
          </w:p>
        </w:tc>
      </w:tr>
      <w:tr w:rsidR="003970D2" w:rsidTr="00150DD6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3970D2" w:rsidP="00150DD6">
            <w:pPr>
              <w:pStyle w:val="Heading8"/>
              <w:tabs>
                <w:tab w:val="left" w:pos="2268"/>
              </w:tabs>
              <w:spacing w:before="20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eastAsia="en-US"/>
              </w:rPr>
              <w:t>Issue 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F72573" w:rsidP="00150DD6">
            <w:pPr>
              <w:spacing w:before="20"/>
              <w:ind w:right="3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October 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3970D2" w:rsidP="00150DD6">
            <w:pPr>
              <w:spacing w:before="20"/>
              <w:ind w:right="3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Revised Date: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CE445C" w:rsidP="00150DD6">
            <w:pPr>
              <w:spacing w:before="20"/>
              <w:ind w:right="3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October 2023</w:t>
            </w:r>
          </w:p>
        </w:tc>
      </w:tr>
      <w:tr w:rsidR="003970D2" w:rsidTr="00150DD6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3970D2" w:rsidP="00150DD6">
            <w:pPr>
              <w:pStyle w:val="Heading8"/>
              <w:tabs>
                <w:tab w:val="left" w:pos="2268"/>
              </w:tabs>
              <w:spacing w:before="20"/>
              <w:jc w:val="both"/>
              <w:rPr>
                <w:rFonts w:ascii="Calibri" w:hAnsi="Calibri" w:cs="Arial"/>
                <w:b/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eastAsia="en-US"/>
              </w:rPr>
              <w:t>Author(s):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2" w:rsidRDefault="003970D2" w:rsidP="00150DD6">
            <w:pPr>
              <w:spacing w:before="20"/>
              <w:ind w:right="34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National Health &amp; Safety Function</w:t>
            </w:r>
          </w:p>
        </w:tc>
      </w:tr>
      <w:tr w:rsidR="00F72573" w:rsidTr="00150DD6">
        <w:trPr>
          <w:trHeight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573" w:rsidRDefault="00F72573" w:rsidP="00F72573">
            <w:pPr>
              <w:spacing w:before="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Legislation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573" w:rsidRPr="00022E66" w:rsidRDefault="00F72573" w:rsidP="00F72573">
            <w:pPr>
              <w:jc w:val="both"/>
              <w:rPr>
                <w:rFonts w:asciiTheme="minorHAnsi" w:hAnsiTheme="minorHAnsi"/>
              </w:rPr>
            </w:pPr>
            <w:r w:rsidRPr="00C52200">
              <w:rPr>
                <w:rFonts w:asciiTheme="minorHAnsi" w:hAnsiTheme="minorHAnsi"/>
                <w:bCs/>
                <w:sz w:val="22"/>
                <w:szCs w:val="22"/>
              </w:rPr>
              <w:t>Under</w:t>
            </w:r>
            <w:r w:rsidRPr="00C522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22E66">
              <w:rPr>
                <w:rFonts w:asciiTheme="minorHAnsi" w:hAnsiTheme="minorHAnsi"/>
                <w:bCs/>
                <w:sz w:val="22"/>
                <w:szCs w:val="22"/>
              </w:rPr>
              <w:t>Section 19 of the Safety, Health and Welfare at Work Act, 2005 and associated Regulations</w:t>
            </w:r>
            <w:r w:rsidRPr="00C522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C52200">
              <w:rPr>
                <w:rFonts w:asciiTheme="minorHAnsi" w:hAnsiTheme="minorHAnsi"/>
                <w:bCs/>
                <w:sz w:val="22"/>
                <w:szCs w:val="22"/>
              </w:rPr>
              <w:t>it</w:t>
            </w:r>
            <w:r w:rsidRPr="00C52200">
              <w:rPr>
                <w:rFonts w:asciiTheme="minorHAnsi" w:hAnsiTheme="minorHAnsi"/>
                <w:sz w:val="22"/>
                <w:szCs w:val="22"/>
              </w:rPr>
              <w:t xml:space="preserve"> is the duty of the employer to identify the hazards and assess the asso</w:t>
            </w:r>
            <w:r w:rsidR="00F10D8B">
              <w:rPr>
                <w:rFonts w:asciiTheme="minorHAnsi" w:hAnsiTheme="minorHAnsi"/>
                <w:sz w:val="22"/>
                <w:szCs w:val="22"/>
              </w:rPr>
              <w:t xml:space="preserve">ciated risks in the workplace. </w:t>
            </w:r>
            <w:r w:rsidRPr="00C52200">
              <w:rPr>
                <w:rFonts w:asciiTheme="minorHAnsi" w:hAnsiTheme="minorHAnsi"/>
                <w:sz w:val="22"/>
                <w:szCs w:val="22"/>
              </w:rPr>
              <w:t>All risk assessments must be in writing and the necessary control measures to eliminate or minimise the risks documented and implemented.</w:t>
            </w:r>
          </w:p>
        </w:tc>
      </w:tr>
      <w:tr w:rsidR="00F72573" w:rsidTr="00150DD6">
        <w:trPr>
          <w:trHeight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573" w:rsidRDefault="00F72573" w:rsidP="00F72573">
            <w:pPr>
              <w:spacing w:before="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Note:</w:t>
            </w:r>
            <w:r w:rsidR="00BE2FED">
              <w:rPr>
                <w:rStyle w:val="FootnoteReference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73" w:rsidRDefault="00F72573" w:rsidP="00F7257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E2F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When conducting risk assessments consideration should be paid to the risk presented and the means of avoiding and mitigating any such risk so f</w:t>
            </w:r>
            <w:r w:rsidR="00287D5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ar as is reasonably practicable</w:t>
            </w:r>
            <w:r w:rsidRPr="00BE2F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87D50" w:rsidRPr="00BE2FED" w:rsidRDefault="00287D50" w:rsidP="00F7257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F72573" w:rsidRPr="00BE2FED" w:rsidRDefault="00F72573" w:rsidP="00F72573">
            <w:pPr>
              <w:pStyle w:val="ListParagraph"/>
              <w:ind w:left="0" w:right="34"/>
              <w:rPr>
                <w:rFonts w:cstheme="minorHAnsi"/>
                <w:i/>
                <w:iCs/>
                <w:sz w:val="22"/>
                <w:szCs w:val="22"/>
              </w:rPr>
            </w:pPr>
          </w:p>
          <w:p w:rsidR="00F72573" w:rsidRPr="00BE2FED" w:rsidRDefault="00F72573" w:rsidP="00F72573">
            <w:pPr>
              <w:pStyle w:val="ListParagraph"/>
              <w:ind w:left="0" w:right="34"/>
              <w:rPr>
                <w:rFonts w:asciiTheme="minorHAnsi" w:hAnsiTheme="minorHAnsi" w:cstheme="minorHAnsi"/>
              </w:rPr>
            </w:pPr>
            <w:r w:rsidRPr="00BE2F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 is</w:t>
            </w:r>
            <w:r w:rsidR="007E2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</w:t>
            </w:r>
            <w:bookmarkStart w:id="0" w:name="_GoBack"/>
            <w:bookmarkEnd w:id="0"/>
            <w:r w:rsidRPr="00BE2F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responsibility of local management to implement any remedial actions identified.</w:t>
            </w:r>
          </w:p>
        </w:tc>
      </w:tr>
    </w:tbl>
    <w:p w:rsidR="003970D2" w:rsidRDefault="003970D2"/>
    <w:tbl>
      <w:tblPr>
        <w:tblStyle w:val="TableGrid1"/>
        <w:tblpPr w:leftFromText="180" w:rightFromText="180" w:vertAnchor="text" w:horzAnchor="margin" w:tblpY="-178"/>
        <w:tblW w:w="14292" w:type="dxa"/>
        <w:tblLook w:val="00A0" w:firstRow="1" w:lastRow="0" w:firstColumn="1" w:lastColumn="0" w:noHBand="0" w:noVBand="0"/>
      </w:tblPr>
      <w:tblGrid>
        <w:gridCol w:w="1191"/>
        <w:gridCol w:w="1189"/>
        <w:gridCol w:w="1187"/>
        <w:gridCol w:w="1190"/>
        <w:gridCol w:w="1189"/>
        <w:gridCol w:w="620"/>
        <w:gridCol w:w="569"/>
        <w:gridCol w:w="1194"/>
        <w:gridCol w:w="1192"/>
        <w:gridCol w:w="1191"/>
        <w:gridCol w:w="17"/>
        <w:gridCol w:w="1173"/>
        <w:gridCol w:w="1191"/>
        <w:gridCol w:w="1190"/>
        <w:gridCol w:w="9"/>
      </w:tblGrid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14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2503AF" w:rsidRPr="002503AF" w:rsidRDefault="00D17EFD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lastRenderedPageBreak/>
              <w:t>Generic</w:t>
            </w:r>
            <w:r w:rsidR="002503AF"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t xml:space="preserve"> </w:t>
            </w:r>
            <w:r w:rsidR="002503AF" w:rsidRPr="002503AF"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t xml:space="preserve">Risk Assessment Form 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Division: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Source of Risk: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HG/CHO/NAS/Function: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Primary Impact Category: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Hospital Site/Service: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Risk Type: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Dept/Service Site: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Name of Risk Owner (BLOCKS):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Date of Assessment: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Signature of Risk Owner: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Unique ID No: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>Risk Co-Ordinator:</w:t>
            </w:r>
          </w:p>
        </w:tc>
      </w:tr>
      <w:tr w:rsidR="002503AF" w:rsidRPr="002503AF" w:rsidTr="00E61EB1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3AF" w:rsidRPr="002503AF" w:rsidRDefault="002503AF" w:rsidP="002503AF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503AF">
              <w:rPr>
                <w:rFonts w:asciiTheme="minorHAnsi" w:hAnsiTheme="minorHAnsi"/>
                <w:b/>
                <w:sz w:val="22"/>
                <w:lang w:val="en-IE"/>
              </w:rPr>
              <w:t xml:space="preserve">Objective being impacted: 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3AF" w:rsidRPr="002503AF" w:rsidRDefault="00971653" w:rsidP="007730C5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sz w:val="22"/>
                <w:lang w:val="en-IE"/>
              </w:rPr>
              <w:footnoteReference w:id="2"/>
            </w:r>
            <w:r w:rsidR="002503AF" w:rsidRPr="002503AF">
              <w:rPr>
                <w:rFonts w:asciiTheme="minorHAnsi" w:hAnsiTheme="minorHAnsi"/>
                <w:b/>
                <w:sz w:val="22"/>
                <w:lang w:val="en-IE"/>
              </w:rPr>
              <w:t>Risk Assessor(s):</w:t>
            </w:r>
          </w:p>
        </w:tc>
      </w:tr>
      <w:tr w:rsidR="002503AF" w:rsidRPr="002503AF" w:rsidTr="00E61EB1">
        <w:trPr>
          <w:gridAfter w:val="1"/>
          <w:wAfter w:w="9" w:type="dxa"/>
          <w:trHeight w:val="454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vertAlign w:val="superscript"/>
                <w:lang w:val="en-IE"/>
              </w:rPr>
              <w:footnoteReference w:id="3"/>
            </w:r>
            <w:r w:rsidRPr="002503A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HAZARD &amp; RISK DESCRIPTION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ACTIONS [ADDITIONAL CONTROLS] REQUIRED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vertAlign w:val="superscript"/>
                <w:lang w:val="en-IE"/>
              </w:rPr>
              <w:footnoteReference w:id="4"/>
            </w:r>
            <w:r w:rsidRPr="002503AF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ACTION OWNER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 xml:space="preserve">DUE </w:t>
            </w:r>
          </w:p>
          <w:p w:rsidR="002503AF" w:rsidRPr="002503AF" w:rsidRDefault="002503AF" w:rsidP="002503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2503AF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DATE</w:t>
            </w:r>
          </w:p>
        </w:tc>
      </w:tr>
      <w:tr w:rsidR="002503AF" w:rsidRPr="002503AF" w:rsidTr="00E61EB1">
        <w:trPr>
          <w:gridAfter w:val="1"/>
          <w:wAfter w:w="9" w:type="dxa"/>
          <w:trHeight w:val="2458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3AF" w:rsidRPr="002503AF" w:rsidRDefault="002503AF" w:rsidP="002503AF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3AF" w:rsidRPr="002503AF" w:rsidRDefault="002503AF" w:rsidP="002503AF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  <w:tr w:rsidR="002503AF" w:rsidRPr="002503AF" w:rsidTr="00E61EB1">
        <w:trPr>
          <w:gridAfter w:val="1"/>
          <w:wAfter w:w="9" w:type="dxa"/>
          <w:trHeight w:val="204"/>
        </w:trPr>
        <w:tc>
          <w:tcPr>
            <w:tcW w:w="35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vertAlign w:val="superscript"/>
                <w:lang w:val="en-IE"/>
              </w:rPr>
              <w:footnoteReference w:id="5"/>
            </w: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Inherent Risk</w:t>
            </w:r>
          </w:p>
        </w:tc>
        <w:tc>
          <w:tcPr>
            <w:tcW w:w="3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vertAlign w:val="superscript"/>
                <w:lang w:val="en-IE"/>
              </w:rPr>
              <w:footnoteReference w:id="6"/>
            </w: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Residual Risk 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vertAlign w:val="superscript"/>
                <w:lang w:val="en-IE"/>
              </w:rPr>
              <w:footnoteReference w:id="7"/>
            </w: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Target Risk </w:t>
            </w:r>
          </w:p>
        </w:tc>
        <w:tc>
          <w:tcPr>
            <w:tcW w:w="35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Status </w:t>
            </w:r>
          </w:p>
        </w:tc>
      </w:tr>
      <w:tr w:rsidR="002503AF" w:rsidRPr="002503AF" w:rsidTr="00E61EB1">
        <w:trPr>
          <w:gridAfter w:val="1"/>
          <w:wAfter w:w="9" w:type="dxa"/>
          <w:trHeight w:val="204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  [1-5]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Impact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[1-5] 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Impact 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Impact 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[1-5]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Open 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Monitor 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2503AF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Closed</w:t>
            </w:r>
          </w:p>
        </w:tc>
      </w:tr>
      <w:tr w:rsidR="002503AF" w:rsidRPr="002503AF" w:rsidTr="00E61EB1">
        <w:trPr>
          <w:trHeight w:val="510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3AF" w:rsidRPr="002503AF" w:rsidRDefault="002503AF" w:rsidP="002503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</w:tr>
    </w:tbl>
    <w:p w:rsidR="003970D2" w:rsidRDefault="003970D2"/>
    <w:p w:rsidR="003970D2" w:rsidRPr="00EC6966" w:rsidRDefault="003970D2" w:rsidP="003970D2">
      <w:pPr>
        <w:pStyle w:val="Footer"/>
        <w:rPr>
          <w:rFonts w:ascii="Calibri" w:hAnsi="Calibri" w:cs="Calibri"/>
          <w:b/>
          <w:sz w:val="18"/>
          <w:szCs w:val="18"/>
        </w:rPr>
      </w:pPr>
    </w:p>
    <w:sectPr w:rsidR="003970D2" w:rsidRPr="00EC6966" w:rsidSect="00EC6966"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1440" w:right="1440" w:bottom="993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BF" w:rsidRDefault="008E6FBF" w:rsidP="00BB0F77">
      <w:r>
        <w:separator/>
      </w:r>
    </w:p>
  </w:endnote>
  <w:endnote w:type="continuationSeparator" w:id="0">
    <w:p w:rsidR="008E6FBF" w:rsidRDefault="008E6FBF" w:rsidP="00B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46" w:rsidRPr="00096DD3" w:rsidRDefault="00C53A46" w:rsidP="00C53A46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CF: 005:07:T Generic Risk Assessment </w:t>
    </w:r>
    <w:r w:rsidR="00AD0C86">
      <w:rPr>
        <w:rFonts w:asciiTheme="minorHAnsi" w:hAnsiTheme="minorHAnsi"/>
        <w:sz w:val="18"/>
        <w:szCs w:val="18"/>
      </w:rPr>
      <w:t>Form</w:t>
    </w:r>
    <w:r w:rsidRPr="00096DD3">
      <w:rPr>
        <w:rFonts w:asciiTheme="minorHAnsi" w:hAnsiTheme="minorHAnsi"/>
        <w:sz w:val="18"/>
        <w:szCs w:val="18"/>
      </w:rPr>
      <w:ptab w:relativeTo="margin" w:alignment="right" w:leader="none"/>
    </w:r>
    <w:r w:rsidRPr="00096DD3">
      <w:rPr>
        <w:rFonts w:asciiTheme="minorHAnsi" w:hAnsiTheme="minorHAnsi"/>
        <w:sz w:val="18"/>
        <w:szCs w:val="18"/>
      </w:rPr>
      <w:t xml:space="preserve">Page </w:t>
    </w:r>
    <w:r w:rsidRPr="00096DD3">
      <w:rPr>
        <w:rFonts w:asciiTheme="minorHAnsi" w:hAnsiTheme="minorHAnsi"/>
        <w:sz w:val="18"/>
        <w:szCs w:val="18"/>
      </w:rPr>
      <w:fldChar w:fldCharType="begin"/>
    </w:r>
    <w:r w:rsidRPr="00096DD3">
      <w:rPr>
        <w:rFonts w:asciiTheme="minorHAnsi" w:hAnsiTheme="minorHAnsi"/>
        <w:sz w:val="18"/>
        <w:szCs w:val="18"/>
      </w:rPr>
      <w:instrText xml:space="preserve"> PAGE   \* MERGEFORMAT </w:instrText>
    </w:r>
    <w:r w:rsidRPr="00096DD3">
      <w:rPr>
        <w:rFonts w:asciiTheme="minorHAnsi" w:hAnsiTheme="minorHAnsi"/>
        <w:sz w:val="18"/>
        <w:szCs w:val="18"/>
      </w:rPr>
      <w:fldChar w:fldCharType="separate"/>
    </w:r>
    <w:r w:rsidR="007E2D69">
      <w:rPr>
        <w:rFonts w:asciiTheme="minorHAnsi" w:hAnsiTheme="minorHAnsi"/>
        <w:noProof/>
        <w:sz w:val="18"/>
        <w:szCs w:val="18"/>
      </w:rPr>
      <w:t>1</w:t>
    </w:r>
    <w:r w:rsidRPr="00096DD3">
      <w:rPr>
        <w:rFonts w:asciiTheme="minorHAnsi" w:hAnsiTheme="minorHAnsi"/>
        <w:sz w:val="18"/>
        <w:szCs w:val="18"/>
      </w:rPr>
      <w:fldChar w:fldCharType="end"/>
    </w:r>
  </w:p>
  <w:p w:rsidR="00A24FE5" w:rsidRDefault="00A2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BF" w:rsidRDefault="008E6FBF" w:rsidP="00BB0F77">
      <w:r>
        <w:separator/>
      </w:r>
    </w:p>
  </w:footnote>
  <w:footnote w:type="continuationSeparator" w:id="0">
    <w:p w:rsidR="008E6FBF" w:rsidRDefault="008E6FBF" w:rsidP="00BB0F77">
      <w:r>
        <w:continuationSeparator/>
      </w:r>
    </w:p>
  </w:footnote>
  <w:footnote w:id="1">
    <w:p w:rsidR="00BE2FED" w:rsidRPr="00BE2FED" w:rsidRDefault="00BE2F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Please note this cover does not require printing for every Risk Assessment </w:t>
      </w:r>
    </w:p>
  </w:footnote>
  <w:footnote w:id="2">
    <w:p w:rsidR="00971653" w:rsidRPr="002B2081" w:rsidRDefault="007730C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971653">
        <w:t xml:space="preserve"> </w:t>
      </w:r>
      <w:r w:rsidR="00971653">
        <w:rPr>
          <w:lang w:val="en-IE"/>
        </w:rPr>
        <w:t>Risk Assessor required for OSH risks only.</w:t>
      </w:r>
    </w:p>
  </w:footnote>
  <w:footnote w:id="3">
    <w:p w:rsidR="002503AF" w:rsidRPr="00B71D13" w:rsidRDefault="002503AF" w:rsidP="002503A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Where the risk being assessed relates to an OSH risk please ensure the HAZARD and associated risk are recorded.</w:t>
      </w:r>
      <w:r w:rsidR="000E08CA">
        <w:rPr>
          <w:lang w:val="en-IE"/>
        </w:rPr>
        <w:t xml:space="preserve"> </w:t>
      </w:r>
      <w:r>
        <w:rPr>
          <w:lang w:val="en-IE"/>
        </w:rPr>
        <w:t xml:space="preserve">Other risk assessments require a risk description only. </w:t>
      </w:r>
    </w:p>
  </w:footnote>
  <w:footnote w:id="4">
    <w:p w:rsidR="002503AF" w:rsidRPr="00BA0554" w:rsidRDefault="002503AF" w:rsidP="002503A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Person responsible for the action.</w:t>
      </w:r>
    </w:p>
  </w:footnote>
  <w:footnote w:id="5">
    <w:p w:rsidR="002503AF" w:rsidRPr="00297E6D" w:rsidRDefault="002503AF" w:rsidP="002503A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Rating </w:t>
      </w:r>
      <w:r w:rsidRPr="00297E6D">
        <w:rPr>
          <w:b/>
        </w:rPr>
        <w:t>b</w:t>
      </w:r>
      <w:r w:rsidRPr="00297E6D">
        <w:rPr>
          <w:b/>
          <w:lang w:val="en-IE"/>
        </w:rPr>
        <w:t xml:space="preserve">efore </w:t>
      </w:r>
      <w:r>
        <w:rPr>
          <w:lang w:val="en-IE"/>
        </w:rPr>
        <w:t>consideration of existing controls.</w:t>
      </w:r>
    </w:p>
  </w:footnote>
  <w:footnote w:id="6">
    <w:p w:rsidR="002503AF" w:rsidRPr="00297E6D" w:rsidRDefault="002503AF" w:rsidP="002503A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Rating </w:t>
      </w:r>
      <w:r w:rsidRPr="00297E6D">
        <w:rPr>
          <w:b/>
        </w:rPr>
        <w:t>a</w:t>
      </w:r>
      <w:r w:rsidRPr="00297E6D">
        <w:rPr>
          <w:b/>
          <w:lang w:val="en-IE"/>
        </w:rPr>
        <w:t>fter</w:t>
      </w:r>
      <w:r>
        <w:rPr>
          <w:lang w:val="en-IE"/>
        </w:rPr>
        <w:t xml:space="preserve"> consideration of existing controls.</w:t>
      </w:r>
    </w:p>
  </w:footnote>
  <w:footnote w:id="7">
    <w:p w:rsidR="002503AF" w:rsidRPr="00297E6D" w:rsidRDefault="002503AF" w:rsidP="002503A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Desired rating </w:t>
      </w:r>
      <w:r w:rsidRPr="00297E6D">
        <w:rPr>
          <w:b/>
        </w:rPr>
        <w:t>a</w:t>
      </w:r>
      <w:r w:rsidRPr="00297E6D">
        <w:rPr>
          <w:b/>
          <w:lang w:val="en-IE"/>
        </w:rPr>
        <w:t>fter</w:t>
      </w:r>
      <w:r>
        <w:rPr>
          <w:lang w:val="en-IE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BD" w:rsidRDefault="00667DBD" w:rsidP="0054284A">
    <w:pPr>
      <w:tabs>
        <w:tab w:val="left" w:pos="284"/>
      </w:tabs>
      <w:jc w:val="center"/>
      <w:rPr>
        <w:b/>
        <w:color w:val="984806"/>
        <w:sz w:val="22"/>
        <w:szCs w:val="22"/>
      </w:rPr>
    </w:pPr>
  </w:p>
  <w:p w:rsidR="0054284A" w:rsidRPr="001D7A0F" w:rsidRDefault="0054284A" w:rsidP="0054284A">
    <w:pPr>
      <w:tabs>
        <w:tab w:val="left" w:pos="2127"/>
        <w:tab w:val="center" w:pos="6096"/>
      </w:tabs>
      <w:ind w:firstLine="284"/>
      <w:jc w:val="both"/>
      <w:rPr>
        <w:noProof/>
        <w:lang w:val="en-IE" w:eastAsia="en-IE"/>
      </w:rPr>
    </w:pPr>
    <w:r>
      <w:rPr>
        <w:noProof/>
        <w:lang w:val="en-IE" w:eastAsia="en-IE"/>
      </w:rPr>
      <w:drawing>
        <wp:inline distT="0" distB="0" distL="0" distR="0" wp14:anchorId="3571B97B" wp14:editId="66E570B5">
          <wp:extent cx="637200" cy="456501"/>
          <wp:effectExtent l="0" t="0" r="0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color w:val="984806"/>
        <w:sz w:val="22"/>
        <w:szCs w:val="22"/>
      </w:rPr>
      <w:tab/>
    </w:r>
    <w:r w:rsidRPr="00F97FCD">
      <w:rPr>
        <w:rFonts w:ascii="Calibri" w:hAnsi="Calibri"/>
        <w:b/>
        <w:color w:val="984806"/>
        <w:sz w:val="22"/>
        <w:szCs w:val="22"/>
      </w:rPr>
      <w:t xml:space="preserve">National Health and Safety Function, Workplace Health and Wellbeing Unit, </w:t>
    </w:r>
    <w:r w:rsidRPr="00F97FCD">
      <w:rPr>
        <w:rFonts w:ascii="Calibri" w:hAnsi="Calibri"/>
        <w:b/>
        <w:sz w:val="22"/>
        <w:szCs w:val="22"/>
      </w:rPr>
      <w:t>National HR Division</w:t>
    </w:r>
  </w:p>
  <w:p w:rsidR="00BB0F77" w:rsidRPr="003970D2" w:rsidRDefault="00BB0F77" w:rsidP="0054284A">
    <w:pPr>
      <w:tabs>
        <w:tab w:val="left" w:pos="673"/>
        <w:tab w:val="left" w:pos="2040"/>
      </w:tabs>
      <w:ind w:left="-284" w:firstLine="284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91D"/>
    <w:multiLevelType w:val="hybridMultilevel"/>
    <w:tmpl w:val="7BDC276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3D43"/>
    <w:multiLevelType w:val="hybridMultilevel"/>
    <w:tmpl w:val="2626C5A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2"/>
    <w:rsid w:val="0005470E"/>
    <w:rsid w:val="000D1D13"/>
    <w:rsid w:val="000E08CA"/>
    <w:rsid w:val="00154FBF"/>
    <w:rsid w:val="00190EA1"/>
    <w:rsid w:val="001D08FF"/>
    <w:rsid w:val="001F3982"/>
    <w:rsid w:val="00206F35"/>
    <w:rsid w:val="00212152"/>
    <w:rsid w:val="002503AF"/>
    <w:rsid w:val="00287D50"/>
    <w:rsid w:val="00294F34"/>
    <w:rsid w:val="002B2081"/>
    <w:rsid w:val="00390B0A"/>
    <w:rsid w:val="003970D2"/>
    <w:rsid w:val="00397747"/>
    <w:rsid w:val="00410E40"/>
    <w:rsid w:val="00430D52"/>
    <w:rsid w:val="0049696C"/>
    <w:rsid w:val="004B5ACA"/>
    <w:rsid w:val="0050612A"/>
    <w:rsid w:val="005201B8"/>
    <w:rsid w:val="005215C4"/>
    <w:rsid w:val="0054284A"/>
    <w:rsid w:val="006326B1"/>
    <w:rsid w:val="00667DBD"/>
    <w:rsid w:val="00694629"/>
    <w:rsid w:val="007730C5"/>
    <w:rsid w:val="007C2717"/>
    <w:rsid w:val="007C4239"/>
    <w:rsid w:val="007E2D69"/>
    <w:rsid w:val="00847A97"/>
    <w:rsid w:val="00867B5A"/>
    <w:rsid w:val="0089314D"/>
    <w:rsid w:val="008D0C1C"/>
    <w:rsid w:val="008E6FBF"/>
    <w:rsid w:val="009112A9"/>
    <w:rsid w:val="00916BF0"/>
    <w:rsid w:val="009452A1"/>
    <w:rsid w:val="00971653"/>
    <w:rsid w:val="0099666C"/>
    <w:rsid w:val="00A24FE5"/>
    <w:rsid w:val="00A63C1A"/>
    <w:rsid w:val="00AC1BCB"/>
    <w:rsid w:val="00AD0C86"/>
    <w:rsid w:val="00B82A4E"/>
    <w:rsid w:val="00BB0F77"/>
    <w:rsid w:val="00BC39F5"/>
    <w:rsid w:val="00BE2FED"/>
    <w:rsid w:val="00C44DF0"/>
    <w:rsid w:val="00C53A46"/>
    <w:rsid w:val="00CD2B7F"/>
    <w:rsid w:val="00CE445C"/>
    <w:rsid w:val="00CF0645"/>
    <w:rsid w:val="00D17EFD"/>
    <w:rsid w:val="00D80391"/>
    <w:rsid w:val="00DB309D"/>
    <w:rsid w:val="00EC6966"/>
    <w:rsid w:val="00EF4BBD"/>
    <w:rsid w:val="00F10D8B"/>
    <w:rsid w:val="00F209A2"/>
    <w:rsid w:val="00F310C8"/>
    <w:rsid w:val="00F31E2E"/>
    <w:rsid w:val="00F37994"/>
    <w:rsid w:val="00F40BDF"/>
    <w:rsid w:val="00F53880"/>
    <w:rsid w:val="00F72573"/>
    <w:rsid w:val="00F72E78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3BECE9"/>
  <w15:docId w15:val="{91F68A82-8D4B-4331-8BF3-E76BC09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70D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462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3970D2"/>
    <w:rPr>
      <w:rFonts w:ascii="Cambria" w:eastAsia="Times New Roman" w:hAnsi="Cambria" w:cs="Times New Roman"/>
      <w:color w:val="404040"/>
      <w:sz w:val="20"/>
      <w:szCs w:val="20"/>
      <w:lang w:val="en-GB" w:eastAsia="x-none"/>
    </w:rPr>
  </w:style>
  <w:style w:type="paragraph" w:customStyle="1" w:styleId="Default">
    <w:name w:val="Default"/>
    <w:rsid w:val="003970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F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E2FED"/>
    <w:rPr>
      <w:vertAlign w:val="superscript"/>
    </w:rPr>
  </w:style>
  <w:style w:type="table" w:customStyle="1" w:styleId="TableGrid1">
    <w:name w:val="Table Grid1"/>
    <w:basedOn w:val="TableNormal"/>
    <w:next w:val="TableGrid"/>
    <w:rsid w:val="0025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3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3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03AF"/>
    <w:rPr>
      <w:vertAlign w:val="superscript"/>
    </w:rPr>
  </w:style>
  <w:style w:type="paragraph" w:styleId="NoSpacing">
    <w:name w:val="No Spacing"/>
    <w:uiPriority w:val="1"/>
    <w:qFormat/>
    <w:rsid w:val="0089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A5F-532F-43CC-9600-1FD8E38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09.05.2022 CF:005:06 GEneral Risk assessment</vt:lpstr>
    </vt:vector>
  </TitlesOfParts>
  <Company>HSE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09.05.2022 CF:005:06 GEneral Risk assessment</dc:title>
  <dc:creator>Admin</dc:creator>
  <cp:lastModifiedBy>Martina Reilly</cp:lastModifiedBy>
  <cp:revision>22</cp:revision>
  <cp:lastPrinted>2023-10-24T08:50:00Z</cp:lastPrinted>
  <dcterms:created xsi:type="dcterms:W3CDTF">2022-05-11T20:17:00Z</dcterms:created>
  <dcterms:modified xsi:type="dcterms:W3CDTF">2023-11-02T15:44:00Z</dcterms:modified>
</cp:coreProperties>
</file>