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268"/>
        <w:gridCol w:w="1985"/>
        <w:gridCol w:w="2268"/>
        <w:gridCol w:w="1417"/>
      </w:tblGrid>
      <w:tr w:rsidR="00F95A59" w:rsidRPr="00BE1006" w:rsidTr="00A44D93">
        <w:trPr>
          <w:trHeight w:val="1550"/>
        </w:trPr>
        <w:tc>
          <w:tcPr>
            <w:tcW w:w="1560" w:type="dxa"/>
          </w:tcPr>
          <w:p w:rsidR="00F95A59" w:rsidRPr="00BE1006" w:rsidRDefault="003927C5" w:rsidP="00A44D93">
            <w:pPr>
              <w:spacing w:after="0" w:line="240" w:lineRule="auto"/>
              <w:rPr>
                <w:rFonts w:ascii="Calibri" w:hAnsi="Calibri"/>
                <w:b/>
              </w:rPr>
            </w:pPr>
            <w:r w:rsidRPr="003927C5">
              <w:rPr>
                <w:rFonts w:ascii="Calibri" w:hAnsi="Calibri"/>
                <w:b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-693</wp:posOffset>
                  </wp:positionH>
                  <wp:positionV relativeFrom="paragraph">
                    <wp:posOffset>577</wp:posOffset>
                  </wp:positionV>
                  <wp:extent cx="819150" cy="886691"/>
                  <wp:effectExtent l="19050" t="0" r="0" b="0"/>
                  <wp:wrapNone/>
                  <wp:docPr id="1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SE-Cover-Colour-Logo_For-White-Backgrounds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8866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521" w:type="dxa"/>
            <w:gridSpan w:val="3"/>
            <w:shd w:val="clear" w:color="auto" w:fill="943634" w:themeFill="accent2" w:themeFillShade="BF"/>
          </w:tcPr>
          <w:p w:rsidR="00F95A59" w:rsidRPr="001C16B8" w:rsidRDefault="00F95A59" w:rsidP="00A44D93">
            <w:pPr>
              <w:spacing w:after="0" w:line="240" w:lineRule="auto"/>
              <w:rPr>
                <w:rFonts w:ascii="Calibri" w:hAnsi="Calibri"/>
                <w:b/>
                <w:color w:val="FFFFFF"/>
              </w:rPr>
            </w:pPr>
          </w:p>
          <w:p w:rsidR="00F95A59" w:rsidRPr="001471CA" w:rsidRDefault="00C455C4" w:rsidP="00A44D93">
            <w:pPr>
              <w:spacing w:after="0" w:line="240" w:lineRule="auto"/>
              <w:rPr>
                <w:rFonts w:ascii="Calibri" w:hAnsi="Calibri"/>
                <w:b/>
                <w:color w:val="FFFFFF"/>
                <w:sz w:val="44"/>
                <w:szCs w:val="44"/>
              </w:rPr>
            </w:pPr>
            <w:r>
              <w:rPr>
                <w:rFonts w:ascii="Calibri" w:hAnsi="Calibri"/>
                <w:b/>
                <w:color w:val="FFFFFF"/>
                <w:sz w:val="44"/>
                <w:szCs w:val="44"/>
              </w:rPr>
              <w:t xml:space="preserve">Risk Assessment </w:t>
            </w:r>
            <w:r w:rsidR="00F95A59">
              <w:rPr>
                <w:rFonts w:ascii="Calibri" w:hAnsi="Calibri"/>
                <w:b/>
                <w:color w:val="FFFFFF"/>
                <w:sz w:val="44"/>
                <w:szCs w:val="44"/>
              </w:rPr>
              <w:t>Prompt Sheets</w:t>
            </w:r>
          </w:p>
        </w:tc>
        <w:tc>
          <w:tcPr>
            <w:tcW w:w="1417" w:type="dxa"/>
            <w:shd w:val="clear" w:color="auto" w:fill="auto"/>
          </w:tcPr>
          <w:p w:rsidR="00F95A59" w:rsidRPr="001C16B8" w:rsidRDefault="00F95A59" w:rsidP="00A44D93">
            <w:pPr>
              <w:spacing w:after="0" w:line="240" w:lineRule="auto"/>
              <w:rPr>
                <w:rFonts w:ascii="Calibri" w:hAnsi="Calibri"/>
                <w:b/>
                <w:color w:val="FFFFFF"/>
              </w:rPr>
            </w:pPr>
            <w:r w:rsidRPr="00572321">
              <w:rPr>
                <w:rFonts w:ascii="Calibri" w:hAnsi="Calibri"/>
                <w:b/>
                <w:noProof/>
                <w:color w:val="FFFFFF"/>
              </w:rPr>
              <w:drawing>
                <wp:inline distT="0" distB="0" distL="0" distR="0">
                  <wp:extent cx="724619" cy="749506"/>
                  <wp:effectExtent l="0" t="0" r="0" b="0"/>
                  <wp:docPr id="16" name="Picture 2" descr="cid:image003.jpg@01D2FB20.B009E7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jpg@01D2FB20.B009E7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90" cy="7481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5A59" w:rsidRPr="00BE1006" w:rsidTr="00A44D93">
        <w:tc>
          <w:tcPr>
            <w:tcW w:w="1560" w:type="dxa"/>
            <w:vAlign w:val="center"/>
          </w:tcPr>
          <w:p w:rsidR="00F95A59" w:rsidRPr="00140E20" w:rsidRDefault="005F4E26" w:rsidP="00BC62B6">
            <w:pPr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>PS:</w:t>
            </w:r>
            <w:r w:rsidR="00A9276A">
              <w:rPr>
                <w:b/>
              </w:rPr>
              <w:t>033:01</w:t>
            </w:r>
          </w:p>
        </w:tc>
        <w:tc>
          <w:tcPr>
            <w:tcW w:w="7938" w:type="dxa"/>
            <w:gridSpan w:val="4"/>
            <w:shd w:val="clear" w:color="auto" w:fill="943634" w:themeFill="accent2" w:themeFillShade="BF"/>
          </w:tcPr>
          <w:p w:rsidR="00F95A59" w:rsidRPr="001471CA" w:rsidRDefault="00F95A59" w:rsidP="00BC62B6">
            <w:pPr>
              <w:spacing w:after="0" w:line="240" w:lineRule="auto"/>
              <w:contextualSpacing/>
              <w:rPr>
                <w:b/>
                <w:color w:val="FFFFFF"/>
                <w:sz w:val="24"/>
                <w:szCs w:val="24"/>
              </w:rPr>
            </w:pPr>
            <w:r>
              <w:rPr>
                <w:rFonts w:ascii="Calibri" w:hAnsi="Calibri"/>
                <w:b/>
                <w:color w:val="FFFFFF"/>
                <w:sz w:val="24"/>
                <w:szCs w:val="24"/>
              </w:rPr>
              <w:t>RE: Clinical Risk Waste</w:t>
            </w:r>
            <w:r w:rsidR="00B81DFB">
              <w:rPr>
                <w:rFonts w:ascii="Calibri" w:hAnsi="Calibri"/>
                <w:b/>
                <w:color w:val="FFFFFF"/>
                <w:sz w:val="24"/>
                <w:szCs w:val="24"/>
              </w:rPr>
              <w:t xml:space="preserve"> on the Ward/Department</w:t>
            </w:r>
          </w:p>
        </w:tc>
      </w:tr>
      <w:tr w:rsidR="005F4E26" w:rsidRPr="00B26179" w:rsidTr="005F4E26">
        <w:tblPrEx>
          <w:tblLook w:val="01E0" w:firstRow="1" w:lastRow="1" w:firstColumn="1" w:lastColumn="1" w:noHBand="0" w:noVBand="0"/>
        </w:tblPrEx>
        <w:trPr>
          <w:trHeight w:val="258"/>
        </w:trPr>
        <w:tc>
          <w:tcPr>
            <w:tcW w:w="1560" w:type="dxa"/>
          </w:tcPr>
          <w:p w:rsidR="005F4E26" w:rsidRPr="00140E20" w:rsidRDefault="005F4E26" w:rsidP="00BC62B6">
            <w:pPr>
              <w:pStyle w:val="Heading8"/>
              <w:tabs>
                <w:tab w:val="left" w:pos="2268"/>
              </w:tabs>
              <w:spacing w:before="20" w:after="0"/>
              <w:rPr>
                <w:rFonts w:asciiTheme="minorHAnsi" w:hAnsiTheme="minorHAnsi" w:cs="Arial"/>
                <w:b/>
                <w:bCs/>
                <w:i w:val="0"/>
                <w:sz w:val="22"/>
                <w:szCs w:val="22"/>
              </w:rPr>
            </w:pPr>
            <w:r w:rsidRPr="00140E20">
              <w:rPr>
                <w:rFonts w:asciiTheme="minorHAnsi" w:hAnsiTheme="minorHAnsi" w:cs="Arial"/>
                <w:b/>
                <w:bCs/>
                <w:i w:val="0"/>
                <w:sz w:val="22"/>
                <w:szCs w:val="22"/>
              </w:rPr>
              <w:t>Issue date</w:t>
            </w:r>
            <w:r>
              <w:rPr>
                <w:rFonts w:asciiTheme="minorHAnsi" w:hAnsiTheme="minorHAnsi" w:cs="Arial"/>
                <w:b/>
                <w:bCs/>
                <w:i w:val="0"/>
                <w:sz w:val="22"/>
                <w:szCs w:val="22"/>
              </w:rPr>
              <w:t>:</w:t>
            </w:r>
          </w:p>
        </w:tc>
        <w:tc>
          <w:tcPr>
            <w:tcW w:w="2268" w:type="dxa"/>
          </w:tcPr>
          <w:p w:rsidR="005F4E26" w:rsidRPr="00140E20" w:rsidRDefault="005F4E26" w:rsidP="00575464">
            <w:pPr>
              <w:pStyle w:val="Heading8"/>
              <w:tabs>
                <w:tab w:val="left" w:pos="2268"/>
              </w:tabs>
              <w:spacing w:before="20" w:after="0"/>
              <w:ind w:right="34"/>
              <w:rPr>
                <w:rFonts w:asciiTheme="minorHAnsi" w:hAnsiTheme="minorHAnsi" w:cs="Arial"/>
                <w:bCs/>
                <w:i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i w:val="0"/>
                <w:sz w:val="22"/>
                <w:szCs w:val="22"/>
              </w:rPr>
              <w:t xml:space="preserve"> Feb 2019</w:t>
            </w:r>
          </w:p>
        </w:tc>
        <w:tc>
          <w:tcPr>
            <w:tcW w:w="1985" w:type="dxa"/>
          </w:tcPr>
          <w:p w:rsidR="005F4E26" w:rsidRPr="00140E20" w:rsidRDefault="005F4E26" w:rsidP="00BC62B6">
            <w:pPr>
              <w:pStyle w:val="Heading8"/>
              <w:tabs>
                <w:tab w:val="left" w:pos="2268"/>
              </w:tabs>
              <w:spacing w:before="20" w:after="0"/>
              <w:ind w:right="34"/>
              <w:rPr>
                <w:rFonts w:asciiTheme="minorHAnsi" w:hAnsiTheme="minorHAnsi" w:cs="Arial"/>
                <w:bCs/>
                <w:i w:val="0"/>
                <w:sz w:val="22"/>
                <w:szCs w:val="22"/>
              </w:rPr>
            </w:pPr>
            <w:r w:rsidRPr="000256EF">
              <w:rPr>
                <w:rFonts w:asciiTheme="minorHAnsi" w:hAnsiTheme="minorHAnsi" w:cs="Arial"/>
                <w:b/>
                <w:bCs/>
                <w:i w:val="0"/>
                <w:sz w:val="22"/>
                <w:szCs w:val="22"/>
              </w:rPr>
              <w:t>Revised Date:</w:t>
            </w:r>
          </w:p>
        </w:tc>
        <w:tc>
          <w:tcPr>
            <w:tcW w:w="3685" w:type="dxa"/>
            <w:gridSpan w:val="2"/>
          </w:tcPr>
          <w:p w:rsidR="005F4E26" w:rsidRPr="00140E20" w:rsidRDefault="005F4E26" w:rsidP="00BC62B6">
            <w:pPr>
              <w:pStyle w:val="Heading8"/>
              <w:tabs>
                <w:tab w:val="left" w:pos="2268"/>
              </w:tabs>
              <w:spacing w:before="20" w:after="0"/>
              <w:ind w:right="34"/>
              <w:rPr>
                <w:rFonts w:asciiTheme="minorHAnsi" w:hAnsiTheme="minorHAnsi" w:cs="Arial"/>
                <w:bCs/>
                <w:i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i w:val="0"/>
                <w:sz w:val="22"/>
                <w:szCs w:val="22"/>
              </w:rPr>
              <w:t xml:space="preserve">June 2020 </w:t>
            </w:r>
          </w:p>
        </w:tc>
      </w:tr>
      <w:tr w:rsidR="00F95A59" w:rsidRPr="00B26179" w:rsidTr="005F4E26">
        <w:tblPrEx>
          <w:tblLook w:val="01E0" w:firstRow="1" w:lastRow="1" w:firstColumn="1" w:lastColumn="1" w:noHBand="0" w:noVBand="0"/>
        </w:tblPrEx>
        <w:trPr>
          <w:trHeight w:val="361"/>
        </w:trPr>
        <w:tc>
          <w:tcPr>
            <w:tcW w:w="1560" w:type="dxa"/>
          </w:tcPr>
          <w:p w:rsidR="00F95A59" w:rsidRPr="00140E20" w:rsidRDefault="00F95A59" w:rsidP="005F4E26">
            <w:pPr>
              <w:pStyle w:val="Heading8"/>
              <w:tabs>
                <w:tab w:val="left" w:pos="2268"/>
              </w:tabs>
              <w:spacing w:before="0" w:after="0"/>
              <w:rPr>
                <w:rFonts w:asciiTheme="minorHAnsi" w:hAnsiTheme="minorHAnsi" w:cs="Arial"/>
                <w:b/>
                <w:bCs/>
                <w:i w:val="0"/>
                <w:sz w:val="22"/>
                <w:szCs w:val="22"/>
              </w:rPr>
            </w:pPr>
            <w:r w:rsidRPr="00140E20">
              <w:rPr>
                <w:rFonts w:asciiTheme="minorHAnsi" w:hAnsiTheme="minorHAnsi" w:cs="Arial"/>
                <w:b/>
                <w:bCs/>
                <w:i w:val="0"/>
                <w:sz w:val="22"/>
                <w:szCs w:val="22"/>
              </w:rPr>
              <w:t>Author(s)</w:t>
            </w:r>
            <w:r>
              <w:rPr>
                <w:rFonts w:asciiTheme="minorHAnsi" w:hAnsiTheme="minorHAnsi" w:cs="Arial"/>
                <w:b/>
                <w:bCs/>
                <w:i w:val="0"/>
                <w:sz w:val="22"/>
                <w:szCs w:val="22"/>
              </w:rPr>
              <w:t>:</w:t>
            </w:r>
          </w:p>
        </w:tc>
        <w:tc>
          <w:tcPr>
            <w:tcW w:w="7938" w:type="dxa"/>
            <w:gridSpan w:val="4"/>
          </w:tcPr>
          <w:p w:rsidR="00F95A59" w:rsidRPr="00140E20" w:rsidRDefault="00F95A59" w:rsidP="005F4E26">
            <w:pPr>
              <w:spacing w:after="0"/>
              <w:ind w:right="34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National Health and Safety Function </w:t>
            </w:r>
          </w:p>
        </w:tc>
      </w:tr>
      <w:tr w:rsidR="00A42BC1" w:rsidRPr="00B26179" w:rsidTr="005F4E26">
        <w:tblPrEx>
          <w:tblLook w:val="01E0" w:firstRow="1" w:lastRow="1" w:firstColumn="1" w:lastColumn="1" w:noHBand="0" w:noVBand="0"/>
        </w:tblPrEx>
        <w:trPr>
          <w:trHeight w:val="975"/>
        </w:trPr>
        <w:tc>
          <w:tcPr>
            <w:tcW w:w="1560" w:type="dxa"/>
            <w:vMerge w:val="restart"/>
          </w:tcPr>
          <w:p w:rsidR="00A42BC1" w:rsidRDefault="00A42BC1" w:rsidP="00BE301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Note:</w:t>
            </w:r>
          </w:p>
          <w:p w:rsidR="00A42BC1" w:rsidRPr="00140E20" w:rsidRDefault="005F4E26" w:rsidP="00BE3018">
            <w:pPr>
              <w:spacing w:after="0" w:line="240" w:lineRule="auto"/>
              <w:rPr>
                <w:rFonts w:cs="Arial"/>
                <w:b/>
                <w:bCs/>
              </w:rPr>
            </w:pPr>
            <w:r>
              <w:rPr>
                <w:b/>
              </w:rPr>
              <w:t>Legislation</w:t>
            </w:r>
            <w:r w:rsidR="00154853">
              <w:rPr>
                <w:b/>
              </w:rPr>
              <w:t>:</w:t>
            </w:r>
          </w:p>
          <w:p w:rsidR="00A42BC1" w:rsidRDefault="00A42BC1" w:rsidP="00BE3018">
            <w:pPr>
              <w:spacing w:after="0" w:line="240" w:lineRule="auto"/>
              <w:rPr>
                <w:rFonts w:cs="Arial"/>
                <w:b/>
                <w:bCs/>
              </w:rPr>
            </w:pPr>
          </w:p>
          <w:p w:rsidR="005F4E26" w:rsidRDefault="005F4E26" w:rsidP="00BE3018">
            <w:pPr>
              <w:spacing w:after="0" w:line="240" w:lineRule="auto"/>
              <w:rPr>
                <w:rFonts w:cs="Arial"/>
                <w:b/>
                <w:bCs/>
              </w:rPr>
            </w:pPr>
          </w:p>
          <w:p w:rsidR="00A42BC1" w:rsidRDefault="00A42BC1" w:rsidP="00BE3018">
            <w:pPr>
              <w:spacing w:after="0"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Definitions</w:t>
            </w:r>
            <w:r w:rsidR="00154853">
              <w:rPr>
                <w:rFonts w:cs="Arial"/>
                <w:b/>
                <w:bCs/>
              </w:rPr>
              <w:t>:</w:t>
            </w:r>
          </w:p>
          <w:p w:rsidR="00A42BC1" w:rsidRDefault="00A42BC1" w:rsidP="00BE3018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  <w:p w:rsidR="00A42BC1" w:rsidRDefault="00A42BC1" w:rsidP="00BE3018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  <w:p w:rsidR="00A42BC1" w:rsidRDefault="00A42BC1" w:rsidP="00BE3018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  <w:p w:rsidR="00A42BC1" w:rsidRDefault="00A42BC1" w:rsidP="00BE3018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  <w:p w:rsidR="00A44D93" w:rsidRDefault="00A44D93" w:rsidP="00BE3018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  <w:p w:rsidR="00A44D93" w:rsidRDefault="00A44D93" w:rsidP="00BE3018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  <w:p w:rsidR="00A44D93" w:rsidRDefault="00A44D93" w:rsidP="00BE3018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  <w:p w:rsidR="00A44D93" w:rsidRDefault="00A44D93" w:rsidP="00BE3018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  <w:p w:rsidR="00A44D93" w:rsidRDefault="00A44D93" w:rsidP="00BE3018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  <w:p w:rsidR="00A44D93" w:rsidRDefault="00A44D93" w:rsidP="00BE3018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  <w:p w:rsidR="00A44D93" w:rsidRDefault="00A44D93" w:rsidP="00BE3018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  <w:p w:rsidR="00A44D93" w:rsidRDefault="00A44D93" w:rsidP="00BE3018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  <w:p w:rsidR="00A42BC1" w:rsidRPr="00140E20" w:rsidRDefault="005F4E26" w:rsidP="00BE3018">
            <w:pPr>
              <w:spacing w:after="0" w:line="240" w:lineRule="auto"/>
              <w:rPr>
                <w:rFonts w:cs="Arial"/>
                <w:b/>
                <w:bCs/>
              </w:rPr>
            </w:pPr>
            <w:r>
              <w:rPr>
                <w:rFonts w:eastAsia="Times New Roman" w:cs="Times New Roman"/>
                <w:b/>
              </w:rPr>
              <w:t>Scope</w:t>
            </w:r>
            <w:r w:rsidR="00154853">
              <w:rPr>
                <w:rFonts w:eastAsia="Times New Roman" w:cs="Times New Roman"/>
                <w:b/>
              </w:rPr>
              <w:t>:</w:t>
            </w:r>
          </w:p>
        </w:tc>
        <w:tc>
          <w:tcPr>
            <w:tcW w:w="7938" w:type="dxa"/>
            <w:gridSpan w:val="4"/>
          </w:tcPr>
          <w:p w:rsidR="00A42BC1" w:rsidRDefault="00A42BC1" w:rsidP="00BE3018">
            <w:pPr>
              <w:tabs>
                <w:tab w:val="center" w:pos="4513"/>
                <w:tab w:val="right" w:pos="9026"/>
              </w:tabs>
              <w:spacing w:after="0" w:line="240" w:lineRule="auto"/>
            </w:pPr>
          </w:p>
          <w:p w:rsidR="00A42BC1" w:rsidRPr="00B84A17" w:rsidRDefault="00A42BC1" w:rsidP="00BE3018">
            <w:pPr>
              <w:tabs>
                <w:tab w:val="center" w:pos="4513"/>
                <w:tab w:val="right" w:pos="9026"/>
              </w:tabs>
              <w:spacing w:after="0" w:line="240" w:lineRule="auto"/>
            </w:pPr>
            <w:r w:rsidRPr="005F29E6">
              <w:t>Safety, Health and Welfare at Work (Biological Agents) Regulations</w:t>
            </w:r>
            <w:r w:rsidR="005F4E26">
              <w:t>,</w:t>
            </w:r>
            <w:r w:rsidRPr="005F29E6">
              <w:t xml:space="preserve"> 2013</w:t>
            </w:r>
          </w:p>
          <w:p w:rsidR="00A42BC1" w:rsidRPr="00C22589" w:rsidRDefault="00A42BC1" w:rsidP="00BE3018">
            <w:pPr>
              <w:spacing w:after="0" w:line="240" w:lineRule="auto"/>
            </w:pPr>
            <w:r w:rsidRPr="005F29E6">
              <w:t xml:space="preserve">Carriage of Dangerous Goods Regulations </w:t>
            </w:r>
          </w:p>
        </w:tc>
      </w:tr>
      <w:tr w:rsidR="00A42BC1" w:rsidRPr="00B26179" w:rsidTr="00A44D93">
        <w:tblPrEx>
          <w:tblLook w:val="01E0" w:firstRow="1" w:lastRow="1" w:firstColumn="1" w:lastColumn="1" w:noHBand="0" w:noVBand="0"/>
        </w:tblPrEx>
        <w:trPr>
          <w:trHeight w:val="1645"/>
        </w:trPr>
        <w:tc>
          <w:tcPr>
            <w:tcW w:w="1560" w:type="dxa"/>
            <w:vMerge/>
          </w:tcPr>
          <w:p w:rsidR="00A42BC1" w:rsidRDefault="00A42BC1" w:rsidP="00BE3018">
            <w:pPr>
              <w:spacing w:after="0" w:line="240" w:lineRule="auto"/>
              <w:rPr>
                <w:rFonts w:cs="Arial"/>
                <w:b/>
                <w:bCs/>
              </w:rPr>
            </w:pPr>
          </w:p>
        </w:tc>
        <w:tc>
          <w:tcPr>
            <w:tcW w:w="7938" w:type="dxa"/>
            <w:gridSpan w:val="4"/>
          </w:tcPr>
          <w:p w:rsidR="00A44D93" w:rsidRDefault="00A42BC1" w:rsidP="00BE3018">
            <w:pPr>
              <w:spacing w:after="0" w:line="240" w:lineRule="auto"/>
            </w:pPr>
            <w:r>
              <w:t>Clinical Risk Waste includes the following:</w:t>
            </w:r>
          </w:p>
          <w:p w:rsidR="005F4E26" w:rsidRDefault="005F4E26" w:rsidP="00BE3018">
            <w:pPr>
              <w:spacing w:after="0" w:line="240" w:lineRule="auto"/>
            </w:pPr>
          </w:p>
          <w:p w:rsidR="00A42BC1" w:rsidRDefault="00A42BC1" w:rsidP="00BE3018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Biological (recognisable anatomical waste)</w:t>
            </w:r>
          </w:p>
          <w:p w:rsidR="00A42BC1" w:rsidRDefault="00A42BC1" w:rsidP="00BE3018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Infectious waste (clinical waste containing infectious substances of Category B pathogen)</w:t>
            </w:r>
          </w:p>
          <w:p w:rsidR="00A42BC1" w:rsidRDefault="00A42BC1" w:rsidP="00BE3018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Sharps</w:t>
            </w:r>
            <w:r w:rsidR="005F4E26">
              <w:t xml:space="preserve"> (e.g. needles, scalpels, sharp</w:t>
            </w:r>
            <w:r>
              <w:t xml:space="preserve"> tips of I.V. sets)</w:t>
            </w:r>
            <w:r w:rsidR="005F4E26">
              <w:t xml:space="preserve"> </w:t>
            </w:r>
            <w:r>
              <w:t>(Please note, Sharps require a separate risk assessment – see Hazard Control prompts on Sharps)</w:t>
            </w:r>
          </w:p>
          <w:p w:rsidR="00A44D93" w:rsidRDefault="00A44D93" w:rsidP="00BE3018">
            <w:pPr>
              <w:pStyle w:val="ListParagraph"/>
              <w:spacing w:after="0" w:line="240" w:lineRule="auto"/>
            </w:pPr>
          </w:p>
          <w:p w:rsidR="00A42BC1" w:rsidRPr="00C22589" w:rsidRDefault="00A42BC1" w:rsidP="00BE3018">
            <w:pPr>
              <w:spacing w:after="0" w:line="240" w:lineRule="auto"/>
            </w:pPr>
            <w:r>
              <w:t xml:space="preserve">For </w:t>
            </w:r>
            <w:r w:rsidR="00F2058E">
              <w:t xml:space="preserve">further </w:t>
            </w:r>
            <w:r>
              <w:t>information, please refer to the DOH (2010) Healthcare Risk Waste Management, Segregation, Packaging and Storage Guidelines for H</w:t>
            </w:r>
            <w:r w:rsidR="00F908C5">
              <w:t xml:space="preserve">ealthcare Risk Waste available at </w:t>
            </w:r>
            <w:hyperlink r:id="rId11" w:history="1">
              <w:r w:rsidR="00F2058E" w:rsidRPr="00F2058E">
                <w:rPr>
                  <w:rStyle w:val="Hyperlink"/>
                </w:rPr>
                <w:t>www.le</w:t>
              </w:r>
              <w:bookmarkStart w:id="0" w:name="_GoBack"/>
              <w:bookmarkEnd w:id="0"/>
              <w:r w:rsidR="00F2058E" w:rsidRPr="00F2058E">
                <w:rPr>
                  <w:rStyle w:val="Hyperlink"/>
                </w:rPr>
                <w:t>n</w:t>
              </w:r>
              <w:r w:rsidR="00F2058E" w:rsidRPr="00F2058E">
                <w:rPr>
                  <w:rStyle w:val="Hyperlink"/>
                </w:rPr>
                <w:t>us.ie</w:t>
              </w:r>
            </w:hyperlink>
            <w:r w:rsidR="00F2058E">
              <w:t xml:space="preserve"> </w:t>
            </w:r>
          </w:p>
        </w:tc>
      </w:tr>
      <w:tr w:rsidR="00A42BC1" w:rsidRPr="00B26179" w:rsidTr="00A44D93">
        <w:tblPrEx>
          <w:tblLook w:val="01E0" w:firstRow="1" w:lastRow="1" w:firstColumn="1" w:lastColumn="1" w:noHBand="0" w:noVBand="0"/>
        </w:tblPrEx>
        <w:trPr>
          <w:trHeight w:val="922"/>
        </w:trPr>
        <w:tc>
          <w:tcPr>
            <w:tcW w:w="1560" w:type="dxa"/>
            <w:vMerge/>
          </w:tcPr>
          <w:p w:rsidR="00A42BC1" w:rsidRDefault="00A42BC1" w:rsidP="00BE3018">
            <w:pPr>
              <w:spacing w:after="0" w:line="240" w:lineRule="auto"/>
              <w:rPr>
                <w:rFonts w:cs="Arial"/>
                <w:b/>
                <w:bCs/>
              </w:rPr>
            </w:pPr>
          </w:p>
        </w:tc>
        <w:tc>
          <w:tcPr>
            <w:tcW w:w="7938" w:type="dxa"/>
            <w:gridSpan w:val="4"/>
          </w:tcPr>
          <w:p w:rsidR="00A42BC1" w:rsidRDefault="00A42BC1" w:rsidP="00BE3018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F29E6">
              <w:rPr>
                <w:rFonts w:eastAsia="Times New Roman" w:cs="Times New Roman"/>
              </w:rPr>
              <w:t>T</w:t>
            </w:r>
            <w:r w:rsidRPr="005F29E6">
              <w:rPr>
                <w:rFonts w:eastAsiaTheme="minorHAnsi" w:cs="Helv"/>
                <w:color w:val="000000"/>
                <w:lang w:eastAsia="en-US"/>
              </w:rPr>
              <w:t xml:space="preserve">he following is a non-exhaustive list of prompts relevant to the hazard </w:t>
            </w:r>
            <w:r w:rsidRPr="005F29E6">
              <w:rPr>
                <w:rFonts w:eastAsia="Times New Roman" w:cs="Times New Roman"/>
              </w:rPr>
              <w:t xml:space="preserve">which </w:t>
            </w:r>
            <w:r w:rsidRPr="005F29E6">
              <w:t xml:space="preserve">should </w:t>
            </w:r>
            <w:r>
              <w:rPr>
                <w:rFonts w:ascii="Calibri" w:eastAsia="Times New Roman" w:hAnsi="Calibri" w:cs="Times New Roman"/>
              </w:rPr>
              <w:t xml:space="preserve">be considered </w:t>
            </w:r>
            <w:r w:rsidRPr="005F29E6">
              <w:rPr>
                <w:rFonts w:ascii="Calibri" w:eastAsia="Times New Roman" w:hAnsi="Calibri" w:cs="Times New Roman"/>
              </w:rPr>
              <w:t>when assessing and controlling the risk associated with Clinical Risk Waste</w:t>
            </w:r>
            <w:r>
              <w:rPr>
                <w:rFonts w:ascii="Calibri" w:eastAsia="Times New Roman" w:hAnsi="Calibri" w:cs="Times New Roman"/>
              </w:rPr>
              <w:t xml:space="preserve">. </w:t>
            </w:r>
          </w:p>
          <w:p w:rsidR="005F4E26" w:rsidRDefault="005F4E26" w:rsidP="00BE3018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9A3DE4" w:rsidRDefault="00A42BC1" w:rsidP="00BE3018">
            <w:pPr>
              <w:tabs>
                <w:tab w:val="center" w:pos="4513"/>
                <w:tab w:val="right" w:pos="9026"/>
              </w:tabs>
              <w:spacing w:after="0" w:line="240" w:lineRule="auto"/>
            </w:pPr>
            <w:r>
              <w:t>All control measures must be documented on the appropriate risk assessment form.</w:t>
            </w:r>
          </w:p>
          <w:p w:rsidR="009A3DE4" w:rsidRDefault="009A3DE4" w:rsidP="00BE3018">
            <w:pPr>
              <w:tabs>
                <w:tab w:val="center" w:pos="4513"/>
                <w:tab w:val="right" w:pos="9026"/>
              </w:tabs>
              <w:spacing w:after="0" w:line="240" w:lineRule="auto"/>
            </w:pPr>
          </w:p>
          <w:p w:rsidR="00A42BC1" w:rsidRPr="00B84A17" w:rsidRDefault="005F4E26" w:rsidP="00BE3018">
            <w:pPr>
              <w:tabs>
                <w:tab w:val="center" w:pos="4513"/>
                <w:tab w:val="right" w:pos="9026"/>
              </w:tabs>
              <w:spacing w:after="0" w:line="240" w:lineRule="auto"/>
            </w:pPr>
            <w:r w:rsidRPr="00D0714F">
              <w:t>For further gui</w:t>
            </w:r>
            <w:r>
              <w:t>dance on undertaking workplace Occupational S</w:t>
            </w:r>
            <w:r w:rsidRPr="00D0714F">
              <w:t>afety</w:t>
            </w:r>
            <w:r>
              <w:t xml:space="preserve"> Health (OSH) Risk A</w:t>
            </w:r>
            <w:r w:rsidRPr="00D0714F">
              <w:t xml:space="preserve">ssessments which are compliant with Section 19, of the Safety, Health and Welfare at Work Act, 2005 and associated legislation please refer to </w:t>
            </w:r>
            <w:hyperlink r:id="rId12" w:history="1">
              <w:r w:rsidRPr="00212BFA">
                <w:rPr>
                  <w:rStyle w:val="Hyperlink"/>
                </w:rPr>
                <w:t>Guideline RE: Completion of Occupational Safety and Health Risk Assessments</w:t>
              </w:r>
            </w:hyperlink>
          </w:p>
        </w:tc>
      </w:tr>
    </w:tbl>
    <w:p w:rsidR="0073479F" w:rsidRDefault="0073479F">
      <w:pPr>
        <w:rPr>
          <w:noProof/>
        </w:rPr>
      </w:pPr>
    </w:p>
    <w:tbl>
      <w:tblPr>
        <w:tblStyle w:val="TableGrid"/>
        <w:tblpPr w:leftFromText="180" w:rightFromText="180" w:vertAnchor="text" w:horzAnchor="margin" w:tblpXSpec="center" w:tblpY="53"/>
        <w:tblW w:w="9412" w:type="dxa"/>
        <w:tblLook w:val="04A0" w:firstRow="1" w:lastRow="0" w:firstColumn="1" w:lastColumn="0" w:noHBand="0" w:noVBand="1"/>
      </w:tblPr>
      <w:tblGrid>
        <w:gridCol w:w="568"/>
        <w:gridCol w:w="6891"/>
        <w:gridCol w:w="635"/>
        <w:gridCol w:w="695"/>
        <w:gridCol w:w="623"/>
      </w:tblGrid>
      <w:tr w:rsidR="00D9284D" w:rsidRPr="005F4E26" w:rsidTr="00A44D93">
        <w:tc>
          <w:tcPr>
            <w:tcW w:w="568" w:type="dxa"/>
            <w:shd w:val="clear" w:color="auto" w:fill="F2F2F2" w:themeFill="background1" w:themeFillShade="F2"/>
          </w:tcPr>
          <w:p w:rsidR="00D9284D" w:rsidRPr="005F4E26" w:rsidRDefault="00D9284D" w:rsidP="005F4E26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5F4E26">
              <w:rPr>
                <w:rFonts w:cstheme="minorHAnsi"/>
                <w:b/>
                <w:color w:val="FF0000"/>
                <w:sz w:val="24"/>
                <w:szCs w:val="24"/>
              </w:rPr>
              <w:t>No.</w:t>
            </w:r>
          </w:p>
        </w:tc>
        <w:tc>
          <w:tcPr>
            <w:tcW w:w="6891" w:type="dxa"/>
            <w:shd w:val="clear" w:color="auto" w:fill="F2F2F2" w:themeFill="background1" w:themeFillShade="F2"/>
          </w:tcPr>
          <w:p w:rsidR="00D9284D" w:rsidRPr="005F4E26" w:rsidRDefault="00D9284D" w:rsidP="005F4E26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5F4E26">
              <w:rPr>
                <w:rFonts w:cstheme="minorHAnsi"/>
                <w:b/>
                <w:color w:val="FF0000"/>
                <w:sz w:val="24"/>
                <w:szCs w:val="24"/>
              </w:rPr>
              <w:t xml:space="preserve">Hazard controls to be considered when carrying out your risk assessment </w:t>
            </w:r>
          </w:p>
        </w:tc>
        <w:tc>
          <w:tcPr>
            <w:tcW w:w="635" w:type="dxa"/>
            <w:shd w:val="clear" w:color="auto" w:fill="F2F2F2" w:themeFill="background1" w:themeFillShade="F2"/>
          </w:tcPr>
          <w:p w:rsidR="00D9284D" w:rsidRPr="005F4E26" w:rsidRDefault="00D9284D" w:rsidP="005F4E26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5F4E26">
              <w:rPr>
                <w:rFonts w:cstheme="minorHAnsi"/>
                <w:b/>
                <w:color w:val="FF0000"/>
                <w:sz w:val="24"/>
                <w:szCs w:val="24"/>
              </w:rPr>
              <w:t>Yes</w:t>
            </w:r>
          </w:p>
        </w:tc>
        <w:tc>
          <w:tcPr>
            <w:tcW w:w="695" w:type="dxa"/>
            <w:shd w:val="clear" w:color="auto" w:fill="F2F2F2" w:themeFill="background1" w:themeFillShade="F2"/>
          </w:tcPr>
          <w:p w:rsidR="00D9284D" w:rsidRPr="005F4E26" w:rsidRDefault="00D9284D" w:rsidP="005F4E26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5F4E26">
              <w:rPr>
                <w:rFonts w:cstheme="minorHAnsi"/>
                <w:b/>
                <w:color w:val="FF0000"/>
                <w:sz w:val="24"/>
                <w:szCs w:val="24"/>
              </w:rPr>
              <w:t>No</w:t>
            </w:r>
          </w:p>
        </w:tc>
        <w:tc>
          <w:tcPr>
            <w:tcW w:w="623" w:type="dxa"/>
            <w:shd w:val="clear" w:color="auto" w:fill="F2F2F2" w:themeFill="background1" w:themeFillShade="F2"/>
          </w:tcPr>
          <w:p w:rsidR="00D9284D" w:rsidRPr="005F4E26" w:rsidRDefault="00D9284D" w:rsidP="005F4E26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5F4E26">
              <w:rPr>
                <w:rFonts w:cstheme="minorHAnsi"/>
                <w:b/>
                <w:color w:val="FF0000"/>
                <w:sz w:val="24"/>
                <w:szCs w:val="24"/>
              </w:rPr>
              <w:t>N/A</w:t>
            </w:r>
          </w:p>
          <w:p w:rsidR="00987F69" w:rsidRPr="005F4E26" w:rsidRDefault="00987F69" w:rsidP="005F4E26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</w:tc>
      </w:tr>
      <w:tr w:rsidR="00D9284D" w:rsidRPr="005F4E26" w:rsidTr="00A44D93">
        <w:tc>
          <w:tcPr>
            <w:tcW w:w="568" w:type="dxa"/>
            <w:shd w:val="clear" w:color="auto" w:fill="F2F2F2" w:themeFill="background1" w:themeFillShade="F2"/>
          </w:tcPr>
          <w:p w:rsidR="00D9284D" w:rsidRPr="005F4E26" w:rsidRDefault="00D9284D" w:rsidP="005F4E26">
            <w:pPr>
              <w:rPr>
                <w:rFonts w:cstheme="minorHAnsi"/>
              </w:rPr>
            </w:pPr>
          </w:p>
        </w:tc>
        <w:tc>
          <w:tcPr>
            <w:tcW w:w="6891" w:type="dxa"/>
            <w:shd w:val="clear" w:color="auto" w:fill="F2F2F2" w:themeFill="background1" w:themeFillShade="F2"/>
          </w:tcPr>
          <w:p w:rsidR="00D9284D" w:rsidRPr="005F4E26" w:rsidRDefault="000250EF" w:rsidP="005F4E26">
            <w:pPr>
              <w:rPr>
                <w:rFonts w:cstheme="minorHAnsi"/>
                <w:b/>
              </w:rPr>
            </w:pPr>
            <w:r w:rsidRPr="005F4E26">
              <w:rPr>
                <w:rFonts w:cstheme="minorHAnsi"/>
                <w:b/>
              </w:rPr>
              <w:t xml:space="preserve">General Waste Handling Requirements </w:t>
            </w:r>
          </w:p>
        </w:tc>
        <w:tc>
          <w:tcPr>
            <w:tcW w:w="635" w:type="dxa"/>
            <w:shd w:val="clear" w:color="auto" w:fill="F2F2F2" w:themeFill="background1" w:themeFillShade="F2"/>
          </w:tcPr>
          <w:p w:rsidR="00D9284D" w:rsidRPr="005F4E26" w:rsidRDefault="00D9284D" w:rsidP="005F4E26">
            <w:pPr>
              <w:rPr>
                <w:rFonts w:cstheme="minorHAnsi"/>
              </w:rPr>
            </w:pPr>
          </w:p>
        </w:tc>
        <w:tc>
          <w:tcPr>
            <w:tcW w:w="695" w:type="dxa"/>
            <w:shd w:val="clear" w:color="auto" w:fill="F2F2F2" w:themeFill="background1" w:themeFillShade="F2"/>
          </w:tcPr>
          <w:p w:rsidR="00D9284D" w:rsidRPr="005F4E26" w:rsidRDefault="00D9284D" w:rsidP="005F4E26">
            <w:pPr>
              <w:rPr>
                <w:rFonts w:cstheme="minorHAnsi"/>
              </w:rPr>
            </w:pPr>
          </w:p>
        </w:tc>
        <w:tc>
          <w:tcPr>
            <w:tcW w:w="623" w:type="dxa"/>
            <w:shd w:val="clear" w:color="auto" w:fill="F2F2F2" w:themeFill="background1" w:themeFillShade="F2"/>
          </w:tcPr>
          <w:p w:rsidR="00D9284D" w:rsidRPr="005F4E26" w:rsidRDefault="00D9284D" w:rsidP="005F4E26">
            <w:pPr>
              <w:rPr>
                <w:rFonts w:cstheme="minorHAnsi"/>
              </w:rPr>
            </w:pPr>
          </w:p>
        </w:tc>
      </w:tr>
      <w:tr w:rsidR="000B2844" w:rsidRPr="005F4E26" w:rsidTr="00A44D93">
        <w:tc>
          <w:tcPr>
            <w:tcW w:w="568" w:type="dxa"/>
          </w:tcPr>
          <w:p w:rsidR="000B2844" w:rsidRPr="005F4E26" w:rsidRDefault="008D3813" w:rsidP="005F4E26">
            <w:pPr>
              <w:rPr>
                <w:rFonts w:cstheme="minorHAnsi"/>
                <w:b/>
                <w:sz w:val="20"/>
                <w:szCs w:val="20"/>
              </w:rPr>
            </w:pPr>
            <w:r w:rsidRPr="005F4E26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6891" w:type="dxa"/>
          </w:tcPr>
          <w:p w:rsidR="000B2844" w:rsidRPr="005F4E26" w:rsidRDefault="000B2844" w:rsidP="005F4E26">
            <w:pPr>
              <w:rPr>
                <w:rFonts w:cstheme="minorHAnsi"/>
                <w:color w:val="000000" w:themeColor="text1"/>
              </w:rPr>
            </w:pPr>
            <w:r w:rsidRPr="005F4E26">
              <w:rPr>
                <w:rFonts w:cstheme="minorHAnsi"/>
                <w:color w:val="000000" w:themeColor="text1"/>
              </w:rPr>
              <w:t>Are waste segregation posters available and displayed</w:t>
            </w:r>
            <w:r w:rsidR="009F24BA" w:rsidRPr="005F4E26">
              <w:rPr>
                <w:rFonts w:cstheme="minorHAnsi"/>
                <w:color w:val="000000" w:themeColor="text1"/>
              </w:rPr>
              <w:t xml:space="preserve"> </w:t>
            </w:r>
            <w:r w:rsidR="00444D4E" w:rsidRPr="005F4E26">
              <w:rPr>
                <w:rFonts w:cstheme="minorHAnsi"/>
                <w:color w:val="000000" w:themeColor="text1"/>
              </w:rPr>
              <w:t>in all relevant areas</w:t>
            </w:r>
            <w:r w:rsidR="009F24BA" w:rsidRPr="005F4E26">
              <w:rPr>
                <w:rFonts w:cstheme="minorHAnsi"/>
                <w:color w:val="000000" w:themeColor="text1"/>
              </w:rPr>
              <w:t xml:space="preserve"> e.g. dirty utility room/waste holding room</w:t>
            </w:r>
            <w:r w:rsidR="008442CE" w:rsidRPr="005F4E26">
              <w:rPr>
                <w:rFonts w:cstheme="minorHAnsi"/>
                <w:color w:val="000000" w:themeColor="text1"/>
              </w:rPr>
              <w:t>, clean utility room</w:t>
            </w:r>
            <w:r w:rsidRPr="005F4E26">
              <w:rPr>
                <w:rFonts w:cstheme="minorHAnsi"/>
                <w:color w:val="000000" w:themeColor="text1"/>
              </w:rPr>
              <w:t>?</w:t>
            </w:r>
          </w:p>
        </w:tc>
        <w:tc>
          <w:tcPr>
            <w:tcW w:w="635" w:type="dxa"/>
          </w:tcPr>
          <w:p w:rsidR="000B2844" w:rsidRPr="005F4E26" w:rsidRDefault="000B2844" w:rsidP="005F4E26">
            <w:pPr>
              <w:rPr>
                <w:rFonts w:cstheme="minorHAnsi"/>
              </w:rPr>
            </w:pPr>
          </w:p>
        </w:tc>
        <w:tc>
          <w:tcPr>
            <w:tcW w:w="695" w:type="dxa"/>
          </w:tcPr>
          <w:p w:rsidR="000B2844" w:rsidRPr="005F4E26" w:rsidRDefault="000B2844" w:rsidP="005F4E26">
            <w:pPr>
              <w:rPr>
                <w:rFonts w:cstheme="minorHAnsi"/>
              </w:rPr>
            </w:pPr>
          </w:p>
        </w:tc>
        <w:tc>
          <w:tcPr>
            <w:tcW w:w="623" w:type="dxa"/>
          </w:tcPr>
          <w:p w:rsidR="000B2844" w:rsidRPr="005F4E26" w:rsidRDefault="000B2844" w:rsidP="005F4E26">
            <w:pPr>
              <w:rPr>
                <w:rFonts w:cstheme="minorHAnsi"/>
              </w:rPr>
            </w:pPr>
          </w:p>
        </w:tc>
      </w:tr>
      <w:tr w:rsidR="00ED6A14" w:rsidRPr="005F4E26" w:rsidTr="00A44D93">
        <w:tc>
          <w:tcPr>
            <w:tcW w:w="568" w:type="dxa"/>
          </w:tcPr>
          <w:p w:rsidR="00ED6A14" w:rsidRPr="005F4E26" w:rsidRDefault="008D3813" w:rsidP="005F4E26">
            <w:pPr>
              <w:rPr>
                <w:rFonts w:cstheme="minorHAnsi"/>
                <w:b/>
                <w:sz w:val="20"/>
                <w:szCs w:val="20"/>
              </w:rPr>
            </w:pPr>
            <w:r w:rsidRPr="005F4E26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6891" w:type="dxa"/>
          </w:tcPr>
          <w:p w:rsidR="00ED6A14" w:rsidRPr="005F4E26" w:rsidRDefault="00ED6A14" w:rsidP="005F4E26">
            <w:pPr>
              <w:rPr>
                <w:rFonts w:cstheme="minorHAnsi"/>
                <w:color w:val="000000" w:themeColor="text1"/>
              </w:rPr>
            </w:pPr>
            <w:r w:rsidRPr="005F4E26">
              <w:rPr>
                <w:rFonts w:cstheme="minorHAnsi"/>
                <w:color w:val="000000" w:themeColor="text1"/>
              </w:rPr>
              <w:t>Are all bins labelled as appropriate e.g. healthcare risk waste or clinical waste; healthcare non risk waste or general waste; paper waste; glass waste etc.?</w:t>
            </w:r>
          </w:p>
        </w:tc>
        <w:tc>
          <w:tcPr>
            <w:tcW w:w="635" w:type="dxa"/>
          </w:tcPr>
          <w:p w:rsidR="00ED6A14" w:rsidRPr="005F4E26" w:rsidRDefault="00ED6A14" w:rsidP="005F4E26">
            <w:pPr>
              <w:rPr>
                <w:rFonts w:cstheme="minorHAnsi"/>
              </w:rPr>
            </w:pPr>
          </w:p>
        </w:tc>
        <w:tc>
          <w:tcPr>
            <w:tcW w:w="695" w:type="dxa"/>
          </w:tcPr>
          <w:p w:rsidR="00ED6A14" w:rsidRPr="005F4E26" w:rsidRDefault="00ED6A14" w:rsidP="005F4E26">
            <w:pPr>
              <w:rPr>
                <w:rFonts w:cstheme="minorHAnsi"/>
              </w:rPr>
            </w:pPr>
          </w:p>
        </w:tc>
        <w:tc>
          <w:tcPr>
            <w:tcW w:w="623" w:type="dxa"/>
          </w:tcPr>
          <w:p w:rsidR="00ED6A14" w:rsidRPr="005F4E26" w:rsidRDefault="00ED6A14" w:rsidP="005F4E26">
            <w:pPr>
              <w:rPr>
                <w:rFonts w:cstheme="minorHAnsi"/>
              </w:rPr>
            </w:pPr>
          </w:p>
        </w:tc>
      </w:tr>
      <w:tr w:rsidR="00ED6A14" w:rsidRPr="005F4E26" w:rsidTr="00A44D93">
        <w:tc>
          <w:tcPr>
            <w:tcW w:w="568" w:type="dxa"/>
          </w:tcPr>
          <w:p w:rsidR="00ED6A14" w:rsidRPr="005F4E26" w:rsidRDefault="008D3813" w:rsidP="005F4E26">
            <w:pPr>
              <w:rPr>
                <w:rFonts w:cstheme="minorHAnsi"/>
                <w:b/>
                <w:sz w:val="20"/>
                <w:szCs w:val="20"/>
              </w:rPr>
            </w:pPr>
            <w:r w:rsidRPr="005F4E26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6891" w:type="dxa"/>
          </w:tcPr>
          <w:p w:rsidR="00ED6A14" w:rsidRPr="005F4E26" w:rsidRDefault="000253E1" w:rsidP="005F4E26">
            <w:pPr>
              <w:rPr>
                <w:rFonts w:cstheme="minorHAnsi"/>
                <w:color w:val="000000" w:themeColor="text1"/>
              </w:rPr>
            </w:pPr>
            <w:r w:rsidRPr="005F4E26">
              <w:rPr>
                <w:rFonts w:cstheme="minorHAnsi"/>
                <w:color w:val="000000" w:themeColor="text1"/>
              </w:rPr>
              <w:t>Have a</w:t>
            </w:r>
            <w:r w:rsidR="008D3813" w:rsidRPr="005F4E26">
              <w:rPr>
                <w:rFonts w:cstheme="minorHAnsi"/>
                <w:color w:val="000000" w:themeColor="text1"/>
              </w:rPr>
              <w:t xml:space="preserve">ll </w:t>
            </w:r>
            <w:r w:rsidRPr="005F4E26">
              <w:rPr>
                <w:rFonts w:cstheme="minorHAnsi"/>
                <w:color w:val="000000" w:themeColor="text1"/>
              </w:rPr>
              <w:t xml:space="preserve">bins </w:t>
            </w:r>
            <w:r w:rsidR="00ED6A14" w:rsidRPr="005F4E26">
              <w:rPr>
                <w:rFonts w:cstheme="minorHAnsi"/>
                <w:color w:val="000000" w:themeColor="text1"/>
              </w:rPr>
              <w:t>the correct colour c</w:t>
            </w:r>
            <w:r w:rsidR="009F24BA" w:rsidRPr="005F4E26">
              <w:rPr>
                <w:rFonts w:cstheme="minorHAnsi"/>
                <w:color w:val="000000" w:themeColor="text1"/>
              </w:rPr>
              <w:t>oded liner / bag</w:t>
            </w:r>
            <w:r w:rsidR="00ED6A14" w:rsidRPr="005F4E26">
              <w:rPr>
                <w:rFonts w:cstheme="minorHAnsi"/>
                <w:color w:val="000000" w:themeColor="text1"/>
              </w:rPr>
              <w:t xml:space="preserve"> e.g. yellow bag for </w:t>
            </w:r>
            <w:r w:rsidR="007A660A" w:rsidRPr="005F4E26">
              <w:rPr>
                <w:rFonts w:cstheme="minorHAnsi"/>
                <w:color w:val="000000" w:themeColor="text1"/>
              </w:rPr>
              <w:t>clinical waste</w:t>
            </w:r>
            <w:r w:rsidR="00ED6A14" w:rsidRPr="005F4E26">
              <w:rPr>
                <w:rFonts w:cstheme="minorHAnsi"/>
                <w:color w:val="000000" w:themeColor="text1"/>
              </w:rPr>
              <w:t xml:space="preserve"> and black or clear bag </w:t>
            </w:r>
            <w:r w:rsidR="009D2CFC" w:rsidRPr="005F4E26">
              <w:rPr>
                <w:rFonts w:cstheme="minorHAnsi"/>
                <w:color w:val="000000" w:themeColor="text1"/>
              </w:rPr>
              <w:t>for non-healthcare risk waste / general waste?</w:t>
            </w:r>
          </w:p>
        </w:tc>
        <w:tc>
          <w:tcPr>
            <w:tcW w:w="635" w:type="dxa"/>
          </w:tcPr>
          <w:p w:rsidR="00ED6A14" w:rsidRPr="005F4E26" w:rsidRDefault="00ED6A14" w:rsidP="005F4E26">
            <w:pPr>
              <w:rPr>
                <w:rFonts w:cstheme="minorHAnsi"/>
              </w:rPr>
            </w:pPr>
          </w:p>
        </w:tc>
        <w:tc>
          <w:tcPr>
            <w:tcW w:w="695" w:type="dxa"/>
          </w:tcPr>
          <w:p w:rsidR="00ED6A14" w:rsidRPr="005F4E26" w:rsidRDefault="00ED6A14" w:rsidP="005F4E26">
            <w:pPr>
              <w:rPr>
                <w:rFonts w:cstheme="minorHAnsi"/>
              </w:rPr>
            </w:pPr>
          </w:p>
        </w:tc>
        <w:tc>
          <w:tcPr>
            <w:tcW w:w="623" w:type="dxa"/>
          </w:tcPr>
          <w:p w:rsidR="00ED6A14" w:rsidRPr="005F4E26" w:rsidRDefault="00ED6A14" w:rsidP="005F4E26">
            <w:pPr>
              <w:rPr>
                <w:rFonts w:cstheme="minorHAnsi"/>
              </w:rPr>
            </w:pPr>
          </w:p>
        </w:tc>
      </w:tr>
    </w:tbl>
    <w:p w:rsidR="005F4E26" w:rsidRDefault="005F4E26">
      <w:r>
        <w:br w:type="page"/>
      </w:r>
    </w:p>
    <w:tbl>
      <w:tblPr>
        <w:tblStyle w:val="TableGrid"/>
        <w:tblpPr w:leftFromText="180" w:rightFromText="180" w:vertAnchor="text" w:horzAnchor="margin" w:tblpXSpec="center" w:tblpY="53"/>
        <w:tblW w:w="9412" w:type="dxa"/>
        <w:tblLook w:val="04A0" w:firstRow="1" w:lastRow="0" w:firstColumn="1" w:lastColumn="0" w:noHBand="0" w:noVBand="1"/>
      </w:tblPr>
      <w:tblGrid>
        <w:gridCol w:w="568"/>
        <w:gridCol w:w="6891"/>
        <w:gridCol w:w="635"/>
        <w:gridCol w:w="695"/>
        <w:gridCol w:w="623"/>
      </w:tblGrid>
      <w:tr w:rsidR="000B2844" w:rsidRPr="005F4E26" w:rsidTr="00A44D93">
        <w:tc>
          <w:tcPr>
            <w:tcW w:w="568" w:type="dxa"/>
          </w:tcPr>
          <w:p w:rsidR="000B2844" w:rsidRPr="005F4E26" w:rsidRDefault="008D3813" w:rsidP="005F4E26">
            <w:pPr>
              <w:rPr>
                <w:rFonts w:cstheme="minorHAnsi"/>
                <w:b/>
                <w:sz w:val="20"/>
                <w:szCs w:val="20"/>
              </w:rPr>
            </w:pPr>
            <w:r w:rsidRPr="005F4E26">
              <w:rPr>
                <w:rFonts w:cstheme="minorHAnsi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6891" w:type="dxa"/>
          </w:tcPr>
          <w:p w:rsidR="000B2844" w:rsidRPr="005F4E26" w:rsidRDefault="001800FA" w:rsidP="005F4E26">
            <w:pPr>
              <w:rPr>
                <w:rFonts w:cstheme="minorHAnsi"/>
                <w:color w:val="000000" w:themeColor="text1"/>
              </w:rPr>
            </w:pPr>
            <w:r w:rsidRPr="005F4E26">
              <w:rPr>
                <w:rFonts w:cstheme="minorHAnsi"/>
                <w:color w:val="000000" w:themeColor="text1"/>
              </w:rPr>
              <w:t xml:space="preserve">Is there a </w:t>
            </w:r>
            <w:r w:rsidR="009F24BA" w:rsidRPr="005F4E26">
              <w:rPr>
                <w:rFonts w:cstheme="minorHAnsi"/>
                <w:color w:val="000000" w:themeColor="text1"/>
              </w:rPr>
              <w:t>safe system of work</w:t>
            </w:r>
            <w:r w:rsidR="00DF1454" w:rsidRPr="005F4E26">
              <w:rPr>
                <w:rFonts w:cstheme="minorHAnsi"/>
                <w:color w:val="000000" w:themeColor="text1"/>
              </w:rPr>
              <w:t xml:space="preserve"> in place to minimise the manual</w:t>
            </w:r>
            <w:r w:rsidR="000B2844" w:rsidRPr="005F4E26">
              <w:rPr>
                <w:rFonts w:cstheme="minorHAnsi"/>
                <w:color w:val="000000" w:themeColor="text1"/>
              </w:rPr>
              <w:t xml:space="preserve"> handling risks associated with the</w:t>
            </w:r>
            <w:r w:rsidR="00DF1454" w:rsidRPr="005F4E26">
              <w:rPr>
                <w:rFonts w:cstheme="minorHAnsi"/>
                <w:color w:val="000000" w:themeColor="text1"/>
              </w:rPr>
              <w:t xml:space="preserve"> segregation</w:t>
            </w:r>
            <w:r w:rsidR="000B2844" w:rsidRPr="005F4E26">
              <w:rPr>
                <w:rFonts w:cstheme="minorHAnsi"/>
                <w:color w:val="000000" w:themeColor="text1"/>
              </w:rPr>
              <w:t>, disposal and transportation of waste</w:t>
            </w:r>
            <w:r w:rsidR="00D551E7" w:rsidRPr="005F4E26">
              <w:rPr>
                <w:rFonts w:cstheme="minorHAnsi"/>
                <w:color w:val="000000" w:themeColor="text1"/>
              </w:rPr>
              <w:t>?</w:t>
            </w:r>
            <w:r w:rsidR="000B2844" w:rsidRPr="005F4E26">
              <w:rPr>
                <w:rFonts w:cstheme="minorHAnsi"/>
                <w:color w:val="000000" w:themeColor="text1"/>
              </w:rPr>
              <w:t xml:space="preserve"> </w:t>
            </w:r>
          </w:p>
        </w:tc>
        <w:tc>
          <w:tcPr>
            <w:tcW w:w="635" w:type="dxa"/>
          </w:tcPr>
          <w:p w:rsidR="000B2844" w:rsidRPr="005F4E26" w:rsidRDefault="000B2844" w:rsidP="005F4E26">
            <w:pPr>
              <w:rPr>
                <w:rFonts w:cstheme="minorHAnsi"/>
              </w:rPr>
            </w:pPr>
          </w:p>
        </w:tc>
        <w:tc>
          <w:tcPr>
            <w:tcW w:w="695" w:type="dxa"/>
          </w:tcPr>
          <w:p w:rsidR="000B2844" w:rsidRPr="005F4E26" w:rsidRDefault="000B2844" w:rsidP="005F4E26">
            <w:pPr>
              <w:rPr>
                <w:rFonts w:cstheme="minorHAnsi"/>
              </w:rPr>
            </w:pPr>
          </w:p>
        </w:tc>
        <w:tc>
          <w:tcPr>
            <w:tcW w:w="623" w:type="dxa"/>
          </w:tcPr>
          <w:p w:rsidR="000B2844" w:rsidRPr="005F4E26" w:rsidRDefault="000B2844" w:rsidP="005F4E26">
            <w:pPr>
              <w:rPr>
                <w:rFonts w:cstheme="minorHAnsi"/>
              </w:rPr>
            </w:pPr>
          </w:p>
        </w:tc>
      </w:tr>
      <w:tr w:rsidR="00D9284D" w:rsidRPr="005F4E26" w:rsidTr="00A44D93">
        <w:tc>
          <w:tcPr>
            <w:tcW w:w="568" w:type="dxa"/>
          </w:tcPr>
          <w:p w:rsidR="00D9284D" w:rsidRPr="005F4E26" w:rsidRDefault="008D3813" w:rsidP="005F4E26">
            <w:pPr>
              <w:rPr>
                <w:rFonts w:cstheme="minorHAnsi"/>
                <w:b/>
                <w:sz w:val="20"/>
                <w:szCs w:val="20"/>
              </w:rPr>
            </w:pPr>
            <w:r w:rsidRPr="005F4E26"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6891" w:type="dxa"/>
          </w:tcPr>
          <w:p w:rsidR="00D9284D" w:rsidRPr="005F4E26" w:rsidRDefault="00D9284D" w:rsidP="005F4E26">
            <w:pPr>
              <w:rPr>
                <w:rFonts w:cstheme="minorHAnsi"/>
              </w:rPr>
            </w:pPr>
            <w:r w:rsidRPr="005F4E26">
              <w:rPr>
                <w:rFonts w:cstheme="minorHAnsi"/>
              </w:rPr>
              <w:t>Is</w:t>
            </w:r>
            <w:r w:rsidR="009D2CFC" w:rsidRPr="005F4E26">
              <w:rPr>
                <w:rFonts w:cstheme="minorHAnsi"/>
              </w:rPr>
              <w:t xml:space="preserve"> </w:t>
            </w:r>
            <w:r w:rsidRPr="005F4E26">
              <w:rPr>
                <w:rFonts w:cstheme="minorHAnsi"/>
              </w:rPr>
              <w:t>clinical risk waste stored away from the public in a secured area with doors to secure area displaying a biohazard symbol and the wording “no authorised entry/restricted access”?</w:t>
            </w:r>
          </w:p>
        </w:tc>
        <w:tc>
          <w:tcPr>
            <w:tcW w:w="635" w:type="dxa"/>
          </w:tcPr>
          <w:p w:rsidR="00D9284D" w:rsidRPr="005F4E26" w:rsidRDefault="00D9284D" w:rsidP="005F4E26">
            <w:pPr>
              <w:rPr>
                <w:rFonts w:cstheme="minorHAnsi"/>
              </w:rPr>
            </w:pPr>
          </w:p>
        </w:tc>
        <w:tc>
          <w:tcPr>
            <w:tcW w:w="695" w:type="dxa"/>
          </w:tcPr>
          <w:p w:rsidR="00D9284D" w:rsidRPr="005F4E26" w:rsidRDefault="00D9284D" w:rsidP="005F4E26">
            <w:pPr>
              <w:rPr>
                <w:rFonts w:cstheme="minorHAnsi"/>
              </w:rPr>
            </w:pPr>
          </w:p>
        </w:tc>
        <w:tc>
          <w:tcPr>
            <w:tcW w:w="623" w:type="dxa"/>
          </w:tcPr>
          <w:p w:rsidR="00D9284D" w:rsidRPr="005F4E26" w:rsidRDefault="00D9284D" w:rsidP="005F4E26">
            <w:pPr>
              <w:rPr>
                <w:rFonts w:cstheme="minorHAnsi"/>
              </w:rPr>
            </w:pPr>
          </w:p>
        </w:tc>
      </w:tr>
      <w:tr w:rsidR="00D9284D" w:rsidRPr="005F4E26" w:rsidTr="00A44D93">
        <w:tc>
          <w:tcPr>
            <w:tcW w:w="568" w:type="dxa"/>
          </w:tcPr>
          <w:p w:rsidR="00D9284D" w:rsidRPr="005F4E26" w:rsidRDefault="008D3813" w:rsidP="005F4E26">
            <w:pPr>
              <w:rPr>
                <w:rFonts w:cstheme="minorHAnsi"/>
                <w:b/>
                <w:sz w:val="20"/>
                <w:szCs w:val="20"/>
              </w:rPr>
            </w:pPr>
            <w:r w:rsidRPr="005F4E26">
              <w:rPr>
                <w:rFonts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6891" w:type="dxa"/>
          </w:tcPr>
          <w:p w:rsidR="00D9284D" w:rsidRPr="005F4E26" w:rsidRDefault="009D2CFC" w:rsidP="005F4E26">
            <w:pPr>
              <w:rPr>
                <w:rFonts w:cstheme="minorHAnsi"/>
                <w:color w:val="00B0F0"/>
              </w:rPr>
            </w:pPr>
            <w:r w:rsidRPr="005F4E26">
              <w:rPr>
                <w:rFonts w:cstheme="minorHAnsi"/>
                <w:color w:val="000000" w:themeColor="text1"/>
              </w:rPr>
              <w:t xml:space="preserve">Are </w:t>
            </w:r>
            <w:r w:rsidR="00617B55" w:rsidRPr="005F4E26">
              <w:rPr>
                <w:rFonts w:cstheme="minorHAnsi"/>
                <w:color w:val="000000" w:themeColor="text1"/>
              </w:rPr>
              <w:t xml:space="preserve">all </w:t>
            </w:r>
            <w:r w:rsidRPr="005F4E26">
              <w:rPr>
                <w:rFonts w:cstheme="minorHAnsi"/>
                <w:color w:val="000000" w:themeColor="text1"/>
              </w:rPr>
              <w:t>waste bins visibly clean,</w:t>
            </w:r>
            <w:r w:rsidR="00DF1454" w:rsidRPr="005F4E26">
              <w:rPr>
                <w:rFonts w:cstheme="minorHAnsi"/>
                <w:color w:val="000000" w:themeColor="text1"/>
              </w:rPr>
              <w:t xml:space="preserve"> in good repair</w:t>
            </w:r>
            <w:r w:rsidRPr="005F4E26">
              <w:rPr>
                <w:rFonts w:cstheme="minorHAnsi"/>
                <w:color w:val="000000" w:themeColor="text1"/>
              </w:rPr>
              <w:t xml:space="preserve"> and included in a documented cleaning schedule</w:t>
            </w:r>
            <w:r w:rsidR="00DF1454" w:rsidRPr="005F4E26">
              <w:rPr>
                <w:rFonts w:cstheme="minorHAnsi"/>
                <w:color w:val="000000" w:themeColor="text1"/>
              </w:rPr>
              <w:t>?</w:t>
            </w:r>
          </w:p>
        </w:tc>
        <w:tc>
          <w:tcPr>
            <w:tcW w:w="635" w:type="dxa"/>
          </w:tcPr>
          <w:p w:rsidR="00D9284D" w:rsidRPr="005F4E26" w:rsidRDefault="00D9284D" w:rsidP="005F4E26">
            <w:pPr>
              <w:rPr>
                <w:rFonts w:cstheme="minorHAnsi"/>
              </w:rPr>
            </w:pPr>
          </w:p>
        </w:tc>
        <w:tc>
          <w:tcPr>
            <w:tcW w:w="695" w:type="dxa"/>
          </w:tcPr>
          <w:p w:rsidR="00D9284D" w:rsidRPr="005F4E26" w:rsidRDefault="00D9284D" w:rsidP="005F4E26">
            <w:pPr>
              <w:rPr>
                <w:rFonts w:cstheme="minorHAnsi"/>
              </w:rPr>
            </w:pPr>
          </w:p>
        </w:tc>
        <w:tc>
          <w:tcPr>
            <w:tcW w:w="623" w:type="dxa"/>
          </w:tcPr>
          <w:p w:rsidR="00D9284D" w:rsidRPr="005F4E26" w:rsidRDefault="00D9284D" w:rsidP="005F4E26">
            <w:pPr>
              <w:rPr>
                <w:rFonts w:cstheme="minorHAnsi"/>
              </w:rPr>
            </w:pPr>
          </w:p>
        </w:tc>
      </w:tr>
      <w:tr w:rsidR="00F94719" w:rsidRPr="005F4E26" w:rsidTr="00A44D93">
        <w:tc>
          <w:tcPr>
            <w:tcW w:w="568" w:type="dxa"/>
          </w:tcPr>
          <w:p w:rsidR="00F94719" w:rsidRPr="005F4E26" w:rsidRDefault="008D3813" w:rsidP="005F4E26">
            <w:pPr>
              <w:rPr>
                <w:rFonts w:cstheme="minorHAnsi"/>
                <w:b/>
                <w:sz w:val="20"/>
                <w:szCs w:val="20"/>
              </w:rPr>
            </w:pPr>
            <w:r w:rsidRPr="005F4E26">
              <w:rPr>
                <w:rFonts w:cstheme="minorHAnsi"/>
                <w:b/>
                <w:sz w:val="20"/>
                <w:szCs w:val="20"/>
              </w:rPr>
              <w:t>7</w:t>
            </w:r>
          </w:p>
        </w:tc>
        <w:tc>
          <w:tcPr>
            <w:tcW w:w="6891" w:type="dxa"/>
          </w:tcPr>
          <w:p w:rsidR="00F94719" w:rsidRPr="005F4E26" w:rsidRDefault="00F94719" w:rsidP="005F4E26">
            <w:pPr>
              <w:rPr>
                <w:rFonts w:cstheme="minorHAnsi"/>
                <w:color w:val="00B0F0"/>
              </w:rPr>
            </w:pPr>
            <w:r w:rsidRPr="005F4E26">
              <w:rPr>
                <w:rFonts w:cstheme="minorHAnsi"/>
              </w:rPr>
              <w:t>Is</w:t>
            </w:r>
            <w:r w:rsidR="007A660A" w:rsidRPr="005F4E26">
              <w:rPr>
                <w:rFonts w:cstheme="minorHAnsi"/>
              </w:rPr>
              <w:t xml:space="preserve"> clinical waste</w:t>
            </w:r>
            <w:r w:rsidR="008D3813" w:rsidRPr="005F4E26">
              <w:rPr>
                <w:rFonts w:cstheme="minorHAnsi"/>
              </w:rPr>
              <w:t xml:space="preserve"> </w:t>
            </w:r>
            <w:r w:rsidRPr="005F4E26">
              <w:rPr>
                <w:rFonts w:cstheme="minorHAnsi"/>
              </w:rPr>
              <w:t>collected regularly to avoid build-up of waste?</w:t>
            </w:r>
          </w:p>
        </w:tc>
        <w:tc>
          <w:tcPr>
            <w:tcW w:w="635" w:type="dxa"/>
          </w:tcPr>
          <w:p w:rsidR="00F94719" w:rsidRPr="005F4E26" w:rsidRDefault="00F94719" w:rsidP="005F4E26">
            <w:pPr>
              <w:rPr>
                <w:rFonts w:cstheme="minorHAnsi"/>
              </w:rPr>
            </w:pPr>
          </w:p>
        </w:tc>
        <w:tc>
          <w:tcPr>
            <w:tcW w:w="695" w:type="dxa"/>
          </w:tcPr>
          <w:p w:rsidR="00F94719" w:rsidRPr="005F4E26" w:rsidRDefault="00F94719" w:rsidP="005F4E26">
            <w:pPr>
              <w:rPr>
                <w:rFonts w:cstheme="minorHAnsi"/>
              </w:rPr>
            </w:pPr>
          </w:p>
        </w:tc>
        <w:tc>
          <w:tcPr>
            <w:tcW w:w="623" w:type="dxa"/>
          </w:tcPr>
          <w:p w:rsidR="00F94719" w:rsidRPr="005F4E26" w:rsidRDefault="00F94719" w:rsidP="005F4E26">
            <w:pPr>
              <w:rPr>
                <w:rFonts w:cstheme="minorHAnsi"/>
              </w:rPr>
            </w:pPr>
          </w:p>
        </w:tc>
      </w:tr>
      <w:tr w:rsidR="00F94719" w:rsidRPr="005F4E26" w:rsidTr="00A44D93">
        <w:tc>
          <w:tcPr>
            <w:tcW w:w="568" w:type="dxa"/>
          </w:tcPr>
          <w:p w:rsidR="00F94719" w:rsidRPr="005F4E26" w:rsidRDefault="008D3813" w:rsidP="005F4E26">
            <w:pPr>
              <w:rPr>
                <w:rFonts w:cstheme="minorHAnsi"/>
                <w:b/>
                <w:sz w:val="20"/>
                <w:szCs w:val="20"/>
              </w:rPr>
            </w:pPr>
            <w:r w:rsidRPr="005F4E26">
              <w:rPr>
                <w:rFonts w:cstheme="minorHAnsi"/>
                <w:b/>
                <w:sz w:val="20"/>
                <w:szCs w:val="20"/>
              </w:rPr>
              <w:t>8</w:t>
            </w:r>
          </w:p>
        </w:tc>
        <w:tc>
          <w:tcPr>
            <w:tcW w:w="6891" w:type="dxa"/>
          </w:tcPr>
          <w:p w:rsidR="00F94719" w:rsidRPr="005F4E26" w:rsidRDefault="00F94719" w:rsidP="005F4E26">
            <w:pPr>
              <w:rPr>
                <w:rFonts w:cstheme="minorHAnsi"/>
                <w:color w:val="00B0F0"/>
              </w:rPr>
            </w:pPr>
            <w:r w:rsidRPr="005F4E26">
              <w:rPr>
                <w:rFonts w:cstheme="minorHAnsi"/>
              </w:rPr>
              <w:t>Is a containment system such as a trolley or UN approved wheeled bin used to transport the clinical risk waste to the waste compound for offsite disposal?</w:t>
            </w:r>
          </w:p>
        </w:tc>
        <w:tc>
          <w:tcPr>
            <w:tcW w:w="635" w:type="dxa"/>
          </w:tcPr>
          <w:p w:rsidR="00F94719" w:rsidRPr="005F4E26" w:rsidRDefault="00F94719" w:rsidP="005F4E26">
            <w:pPr>
              <w:rPr>
                <w:rFonts w:cstheme="minorHAnsi"/>
              </w:rPr>
            </w:pPr>
          </w:p>
        </w:tc>
        <w:tc>
          <w:tcPr>
            <w:tcW w:w="695" w:type="dxa"/>
          </w:tcPr>
          <w:p w:rsidR="00F94719" w:rsidRPr="005F4E26" w:rsidRDefault="00F94719" w:rsidP="005F4E26">
            <w:pPr>
              <w:rPr>
                <w:rFonts w:cstheme="minorHAnsi"/>
              </w:rPr>
            </w:pPr>
          </w:p>
        </w:tc>
        <w:tc>
          <w:tcPr>
            <w:tcW w:w="623" w:type="dxa"/>
          </w:tcPr>
          <w:p w:rsidR="00F94719" w:rsidRPr="005F4E26" w:rsidRDefault="00F94719" w:rsidP="005F4E26">
            <w:pPr>
              <w:rPr>
                <w:rFonts w:cstheme="minorHAnsi"/>
              </w:rPr>
            </w:pPr>
          </w:p>
        </w:tc>
      </w:tr>
      <w:tr w:rsidR="00D551E7" w:rsidRPr="005F4E26" w:rsidTr="00A44D93">
        <w:tc>
          <w:tcPr>
            <w:tcW w:w="568" w:type="dxa"/>
          </w:tcPr>
          <w:p w:rsidR="00D551E7" w:rsidRPr="005F4E26" w:rsidRDefault="00D551E7" w:rsidP="005F4E26">
            <w:pPr>
              <w:rPr>
                <w:rFonts w:cstheme="minorHAnsi"/>
                <w:b/>
                <w:sz w:val="20"/>
                <w:szCs w:val="20"/>
              </w:rPr>
            </w:pPr>
            <w:r w:rsidRPr="005F4E26">
              <w:rPr>
                <w:rFonts w:cstheme="minorHAnsi"/>
                <w:b/>
                <w:sz w:val="20"/>
                <w:szCs w:val="20"/>
              </w:rPr>
              <w:t>9</w:t>
            </w:r>
          </w:p>
        </w:tc>
        <w:tc>
          <w:tcPr>
            <w:tcW w:w="6891" w:type="dxa"/>
          </w:tcPr>
          <w:p w:rsidR="00D551E7" w:rsidRPr="005F4E26" w:rsidRDefault="00D551E7" w:rsidP="005F4E26">
            <w:pPr>
              <w:rPr>
                <w:rFonts w:cstheme="minorHAnsi"/>
              </w:rPr>
            </w:pPr>
            <w:r w:rsidRPr="005F4E26">
              <w:rPr>
                <w:rFonts w:cstheme="minorHAnsi"/>
              </w:rPr>
              <w:t xml:space="preserve">Have staff </w:t>
            </w:r>
            <w:proofErr w:type="gramStart"/>
            <w:r w:rsidRPr="005F4E26">
              <w:rPr>
                <w:rFonts w:cstheme="minorHAnsi"/>
              </w:rPr>
              <w:t>who</w:t>
            </w:r>
            <w:proofErr w:type="gramEnd"/>
            <w:r w:rsidRPr="005F4E26">
              <w:rPr>
                <w:rFonts w:cstheme="minorHAnsi"/>
              </w:rPr>
              <w:t xml:space="preserve"> generate, segregate and package healthcare risk waste received appropriate training and training records maintained? </w:t>
            </w:r>
          </w:p>
        </w:tc>
        <w:tc>
          <w:tcPr>
            <w:tcW w:w="635" w:type="dxa"/>
          </w:tcPr>
          <w:p w:rsidR="00D551E7" w:rsidRPr="005F4E26" w:rsidRDefault="00D551E7" w:rsidP="005F4E26">
            <w:pPr>
              <w:rPr>
                <w:rFonts w:cstheme="minorHAnsi"/>
              </w:rPr>
            </w:pPr>
          </w:p>
        </w:tc>
        <w:tc>
          <w:tcPr>
            <w:tcW w:w="695" w:type="dxa"/>
          </w:tcPr>
          <w:p w:rsidR="00D551E7" w:rsidRPr="005F4E26" w:rsidRDefault="00D551E7" w:rsidP="005F4E26">
            <w:pPr>
              <w:rPr>
                <w:rFonts w:cstheme="minorHAnsi"/>
              </w:rPr>
            </w:pPr>
          </w:p>
        </w:tc>
        <w:tc>
          <w:tcPr>
            <w:tcW w:w="623" w:type="dxa"/>
          </w:tcPr>
          <w:p w:rsidR="00D551E7" w:rsidRPr="005F4E26" w:rsidRDefault="00D551E7" w:rsidP="005F4E26">
            <w:pPr>
              <w:rPr>
                <w:rFonts w:cstheme="minorHAnsi"/>
              </w:rPr>
            </w:pPr>
          </w:p>
        </w:tc>
      </w:tr>
      <w:tr w:rsidR="00D551E7" w:rsidRPr="005F4E26" w:rsidTr="00065E21">
        <w:trPr>
          <w:trHeight w:val="289"/>
        </w:trPr>
        <w:tc>
          <w:tcPr>
            <w:tcW w:w="568" w:type="dxa"/>
            <w:shd w:val="clear" w:color="auto" w:fill="FFFFFF" w:themeFill="background1"/>
          </w:tcPr>
          <w:p w:rsidR="00D551E7" w:rsidRPr="005F4E26" w:rsidRDefault="00A41955" w:rsidP="005F4E26">
            <w:pPr>
              <w:tabs>
                <w:tab w:val="center" w:pos="4513"/>
                <w:tab w:val="right" w:pos="9026"/>
              </w:tabs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5F4E26">
              <w:rPr>
                <w:rFonts w:cstheme="minorHAnsi"/>
                <w:b/>
                <w:sz w:val="20"/>
                <w:szCs w:val="20"/>
              </w:rPr>
              <w:t>10</w:t>
            </w:r>
          </w:p>
        </w:tc>
        <w:tc>
          <w:tcPr>
            <w:tcW w:w="6891" w:type="dxa"/>
            <w:shd w:val="clear" w:color="auto" w:fill="FFFFFF" w:themeFill="background1"/>
          </w:tcPr>
          <w:p w:rsidR="00D551E7" w:rsidRPr="005F4E26" w:rsidRDefault="00D551E7" w:rsidP="005F4E26">
            <w:pPr>
              <w:tabs>
                <w:tab w:val="center" w:pos="4513"/>
                <w:tab w:val="right" w:pos="9026"/>
              </w:tabs>
              <w:rPr>
                <w:rFonts w:cstheme="minorHAnsi"/>
              </w:rPr>
            </w:pPr>
            <w:r w:rsidRPr="005F4E26">
              <w:rPr>
                <w:rFonts w:cstheme="minorHAnsi"/>
              </w:rPr>
              <w:t>Is PPE provided based on Risk Assessment?</w:t>
            </w:r>
          </w:p>
        </w:tc>
        <w:tc>
          <w:tcPr>
            <w:tcW w:w="635" w:type="dxa"/>
            <w:shd w:val="clear" w:color="auto" w:fill="FFFFFF" w:themeFill="background1"/>
          </w:tcPr>
          <w:p w:rsidR="00D551E7" w:rsidRPr="005F4E26" w:rsidRDefault="00D551E7" w:rsidP="005F4E26">
            <w:pPr>
              <w:rPr>
                <w:rFonts w:cstheme="minorHAnsi"/>
              </w:rPr>
            </w:pPr>
          </w:p>
        </w:tc>
        <w:tc>
          <w:tcPr>
            <w:tcW w:w="695" w:type="dxa"/>
            <w:shd w:val="clear" w:color="auto" w:fill="FFFFFF" w:themeFill="background1"/>
          </w:tcPr>
          <w:p w:rsidR="00D551E7" w:rsidRPr="005F4E26" w:rsidRDefault="00D551E7" w:rsidP="005F4E26">
            <w:pPr>
              <w:rPr>
                <w:rFonts w:cstheme="minorHAnsi"/>
              </w:rPr>
            </w:pPr>
          </w:p>
        </w:tc>
        <w:tc>
          <w:tcPr>
            <w:tcW w:w="623" w:type="dxa"/>
            <w:shd w:val="clear" w:color="auto" w:fill="FFFFFF" w:themeFill="background1"/>
          </w:tcPr>
          <w:p w:rsidR="00D551E7" w:rsidRPr="005F4E26" w:rsidRDefault="00D551E7" w:rsidP="005F4E26">
            <w:pPr>
              <w:rPr>
                <w:rFonts w:cstheme="minorHAnsi"/>
              </w:rPr>
            </w:pPr>
          </w:p>
        </w:tc>
      </w:tr>
      <w:tr w:rsidR="00D9284D" w:rsidRPr="005F4E26" w:rsidTr="00A44D93">
        <w:tc>
          <w:tcPr>
            <w:tcW w:w="568" w:type="dxa"/>
            <w:shd w:val="clear" w:color="auto" w:fill="F2F2F2" w:themeFill="background1" w:themeFillShade="F2"/>
          </w:tcPr>
          <w:p w:rsidR="00D9284D" w:rsidRPr="005F4E26" w:rsidRDefault="00D9284D" w:rsidP="005F4E2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891" w:type="dxa"/>
            <w:shd w:val="clear" w:color="auto" w:fill="F2F2F2" w:themeFill="background1" w:themeFillShade="F2"/>
          </w:tcPr>
          <w:p w:rsidR="00D9284D" w:rsidRPr="005F4E26" w:rsidRDefault="00D9284D" w:rsidP="005F4E26">
            <w:pPr>
              <w:rPr>
                <w:rFonts w:cstheme="minorHAnsi"/>
                <w:b/>
              </w:rPr>
            </w:pPr>
            <w:r w:rsidRPr="005F4E26">
              <w:rPr>
                <w:rFonts w:cstheme="minorHAnsi"/>
                <w:b/>
              </w:rPr>
              <w:t>Use of Clinical Waste Bags</w:t>
            </w:r>
          </w:p>
        </w:tc>
        <w:tc>
          <w:tcPr>
            <w:tcW w:w="635" w:type="dxa"/>
            <w:shd w:val="clear" w:color="auto" w:fill="F2F2F2" w:themeFill="background1" w:themeFillShade="F2"/>
          </w:tcPr>
          <w:p w:rsidR="00D9284D" w:rsidRPr="005F4E26" w:rsidRDefault="00D9284D" w:rsidP="005F4E26">
            <w:pPr>
              <w:rPr>
                <w:rFonts w:cstheme="minorHAnsi"/>
              </w:rPr>
            </w:pPr>
          </w:p>
        </w:tc>
        <w:tc>
          <w:tcPr>
            <w:tcW w:w="695" w:type="dxa"/>
            <w:shd w:val="clear" w:color="auto" w:fill="F2F2F2" w:themeFill="background1" w:themeFillShade="F2"/>
          </w:tcPr>
          <w:p w:rsidR="00D9284D" w:rsidRPr="005F4E26" w:rsidRDefault="00D9284D" w:rsidP="005F4E26">
            <w:pPr>
              <w:rPr>
                <w:rFonts w:cstheme="minorHAnsi"/>
              </w:rPr>
            </w:pPr>
          </w:p>
        </w:tc>
        <w:tc>
          <w:tcPr>
            <w:tcW w:w="623" w:type="dxa"/>
            <w:shd w:val="clear" w:color="auto" w:fill="F2F2F2" w:themeFill="background1" w:themeFillShade="F2"/>
          </w:tcPr>
          <w:p w:rsidR="00D9284D" w:rsidRPr="005F4E26" w:rsidRDefault="00D9284D" w:rsidP="005F4E26">
            <w:pPr>
              <w:rPr>
                <w:rFonts w:cstheme="minorHAnsi"/>
              </w:rPr>
            </w:pPr>
          </w:p>
        </w:tc>
      </w:tr>
      <w:tr w:rsidR="00D9284D" w:rsidRPr="005F4E26" w:rsidTr="00A44D93">
        <w:tc>
          <w:tcPr>
            <w:tcW w:w="568" w:type="dxa"/>
          </w:tcPr>
          <w:p w:rsidR="00D9284D" w:rsidRPr="005F4E26" w:rsidRDefault="009E479A" w:rsidP="005F4E26">
            <w:pPr>
              <w:rPr>
                <w:rFonts w:cstheme="minorHAnsi"/>
                <w:b/>
                <w:sz w:val="20"/>
                <w:szCs w:val="20"/>
              </w:rPr>
            </w:pPr>
            <w:r w:rsidRPr="005F4E26">
              <w:rPr>
                <w:rFonts w:cstheme="minorHAnsi"/>
                <w:b/>
                <w:sz w:val="20"/>
                <w:szCs w:val="20"/>
              </w:rPr>
              <w:t>1</w:t>
            </w:r>
            <w:r w:rsidR="00B167F1" w:rsidRPr="005F4E26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6891" w:type="dxa"/>
          </w:tcPr>
          <w:p w:rsidR="00D9284D" w:rsidRPr="005F4E26" w:rsidRDefault="00670547" w:rsidP="005F4E26">
            <w:pPr>
              <w:rPr>
                <w:rFonts w:cstheme="minorHAnsi"/>
                <w:i/>
              </w:rPr>
            </w:pPr>
            <w:r w:rsidRPr="005F4E26">
              <w:rPr>
                <w:rFonts w:cstheme="minorHAnsi"/>
              </w:rPr>
              <w:t>Are all large yellow bags</w:t>
            </w:r>
            <w:r w:rsidR="00D9284D" w:rsidRPr="005F4E26">
              <w:rPr>
                <w:rFonts w:cstheme="minorHAnsi"/>
              </w:rPr>
              <w:t xml:space="preserve"> marked UN 5H4 and display a class 6.2 label, the text UN 3291 and display the biohazard symbol and the words </w:t>
            </w:r>
            <w:r w:rsidR="00D9284D" w:rsidRPr="005F4E26">
              <w:rPr>
                <w:rFonts w:cstheme="minorHAnsi"/>
                <w:i/>
              </w:rPr>
              <w:t>Clinical Waste?</w:t>
            </w:r>
          </w:p>
          <w:p w:rsidR="001D10C8" w:rsidRPr="005F4E26" w:rsidRDefault="001D10C8" w:rsidP="005F4E26">
            <w:pPr>
              <w:rPr>
                <w:rFonts w:cstheme="minorHAnsi"/>
                <w:i/>
              </w:rPr>
            </w:pPr>
            <w:r w:rsidRPr="005F4E26">
              <w:rPr>
                <w:rFonts w:cstheme="minorHAnsi"/>
                <w:noProof/>
                <w:sz w:val="24"/>
                <w:szCs w:val="24"/>
              </w:rPr>
              <w:drawing>
                <wp:inline distT="0" distB="0" distL="0" distR="0">
                  <wp:extent cx="1288189" cy="1196904"/>
                  <wp:effectExtent l="0" t="38100" r="0" b="22296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291107" cy="1199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5" w:type="dxa"/>
          </w:tcPr>
          <w:p w:rsidR="00D9284D" w:rsidRPr="005F4E26" w:rsidRDefault="00D9284D" w:rsidP="005F4E26">
            <w:pPr>
              <w:rPr>
                <w:rFonts w:cstheme="minorHAnsi"/>
              </w:rPr>
            </w:pPr>
          </w:p>
        </w:tc>
        <w:tc>
          <w:tcPr>
            <w:tcW w:w="695" w:type="dxa"/>
          </w:tcPr>
          <w:p w:rsidR="00D9284D" w:rsidRPr="005F4E26" w:rsidRDefault="00D9284D" w:rsidP="005F4E26">
            <w:pPr>
              <w:rPr>
                <w:rFonts w:cstheme="minorHAnsi"/>
              </w:rPr>
            </w:pPr>
          </w:p>
        </w:tc>
        <w:tc>
          <w:tcPr>
            <w:tcW w:w="623" w:type="dxa"/>
          </w:tcPr>
          <w:p w:rsidR="00D9284D" w:rsidRPr="005F4E26" w:rsidRDefault="00D9284D" w:rsidP="005F4E26">
            <w:pPr>
              <w:rPr>
                <w:rFonts w:cstheme="minorHAnsi"/>
              </w:rPr>
            </w:pPr>
          </w:p>
        </w:tc>
      </w:tr>
      <w:tr w:rsidR="00D9284D" w:rsidRPr="005F4E26" w:rsidTr="00A44D93">
        <w:tc>
          <w:tcPr>
            <w:tcW w:w="568" w:type="dxa"/>
          </w:tcPr>
          <w:p w:rsidR="00D9284D" w:rsidRPr="005F4E26" w:rsidRDefault="008D3813" w:rsidP="005F4E26">
            <w:pPr>
              <w:rPr>
                <w:rFonts w:cstheme="minorHAnsi"/>
                <w:b/>
                <w:sz w:val="20"/>
                <w:szCs w:val="20"/>
              </w:rPr>
            </w:pPr>
            <w:r w:rsidRPr="005F4E26">
              <w:rPr>
                <w:rFonts w:cstheme="minorHAnsi"/>
                <w:b/>
                <w:sz w:val="20"/>
                <w:szCs w:val="20"/>
              </w:rPr>
              <w:t>1</w:t>
            </w:r>
            <w:r w:rsidR="00B167F1" w:rsidRPr="005F4E26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6891" w:type="dxa"/>
          </w:tcPr>
          <w:p w:rsidR="00D9284D" w:rsidRPr="005F4E26" w:rsidRDefault="00D9284D" w:rsidP="005F4E26">
            <w:pPr>
              <w:rPr>
                <w:rFonts w:cstheme="minorHAnsi"/>
              </w:rPr>
            </w:pPr>
            <w:r w:rsidRPr="005F4E26">
              <w:rPr>
                <w:rFonts w:cstheme="minorHAnsi"/>
              </w:rPr>
              <w:t xml:space="preserve">Are yellow bags placed in enclosed, pedal operated, lidded, non-combustible waste bins to minimise the risk of injury?  </w:t>
            </w:r>
          </w:p>
          <w:p w:rsidR="00D9284D" w:rsidRPr="005F4E26" w:rsidRDefault="00D9284D" w:rsidP="005F4E26">
            <w:pPr>
              <w:rPr>
                <w:rFonts w:cstheme="minorHAnsi"/>
              </w:rPr>
            </w:pPr>
            <w:r w:rsidRPr="005F4E26">
              <w:rPr>
                <w:rFonts w:cstheme="minorHAnsi"/>
              </w:rPr>
              <w:t>(Please note they must not be tied onto containers/trolleys)</w:t>
            </w:r>
          </w:p>
        </w:tc>
        <w:tc>
          <w:tcPr>
            <w:tcW w:w="635" w:type="dxa"/>
          </w:tcPr>
          <w:p w:rsidR="00D9284D" w:rsidRPr="005F4E26" w:rsidRDefault="00D9284D" w:rsidP="005F4E26">
            <w:pPr>
              <w:rPr>
                <w:rFonts w:cstheme="minorHAnsi"/>
              </w:rPr>
            </w:pPr>
          </w:p>
        </w:tc>
        <w:tc>
          <w:tcPr>
            <w:tcW w:w="695" w:type="dxa"/>
          </w:tcPr>
          <w:p w:rsidR="00D9284D" w:rsidRPr="005F4E26" w:rsidRDefault="00D9284D" w:rsidP="005F4E26">
            <w:pPr>
              <w:rPr>
                <w:rFonts w:cstheme="minorHAnsi"/>
              </w:rPr>
            </w:pPr>
          </w:p>
        </w:tc>
        <w:tc>
          <w:tcPr>
            <w:tcW w:w="623" w:type="dxa"/>
          </w:tcPr>
          <w:p w:rsidR="00D9284D" w:rsidRPr="005F4E26" w:rsidRDefault="00D9284D" w:rsidP="005F4E26">
            <w:pPr>
              <w:rPr>
                <w:rFonts w:cstheme="minorHAnsi"/>
              </w:rPr>
            </w:pPr>
          </w:p>
        </w:tc>
      </w:tr>
      <w:tr w:rsidR="00D9284D" w:rsidRPr="005F4E26" w:rsidTr="00A44D93">
        <w:tc>
          <w:tcPr>
            <w:tcW w:w="568" w:type="dxa"/>
          </w:tcPr>
          <w:p w:rsidR="00D9284D" w:rsidRPr="005F4E26" w:rsidRDefault="008D3813" w:rsidP="005F4E26">
            <w:pPr>
              <w:rPr>
                <w:rFonts w:cstheme="minorHAnsi"/>
                <w:b/>
                <w:sz w:val="20"/>
                <w:szCs w:val="20"/>
              </w:rPr>
            </w:pPr>
            <w:r w:rsidRPr="005F4E26">
              <w:rPr>
                <w:rFonts w:cstheme="minorHAnsi"/>
                <w:b/>
                <w:sz w:val="20"/>
                <w:szCs w:val="20"/>
              </w:rPr>
              <w:t>1</w:t>
            </w:r>
            <w:r w:rsidR="00B167F1" w:rsidRPr="005F4E26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6891" w:type="dxa"/>
          </w:tcPr>
          <w:p w:rsidR="00D9284D" w:rsidRPr="005F4E26" w:rsidRDefault="007249C6" w:rsidP="005F4E26">
            <w:pPr>
              <w:rPr>
                <w:rFonts w:cstheme="minorHAnsi"/>
              </w:rPr>
            </w:pPr>
            <w:r w:rsidRPr="005F4E26">
              <w:rPr>
                <w:rFonts w:cstheme="minorHAnsi"/>
              </w:rPr>
              <w:t>Clinical risk waste</w:t>
            </w:r>
            <w:r w:rsidR="004262C3" w:rsidRPr="005F4E26">
              <w:rPr>
                <w:rFonts w:cstheme="minorHAnsi"/>
              </w:rPr>
              <w:t xml:space="preserve"> is</w:t>
            </w:r>
            <w:r w:rsidRPr="005F4E26">
              <w:rPr>
                <w:rFonts w:cstheme="minorHAnsi"/>
              </w:rPr>
              <w:t xml:space="preserve"> not decanted</w:t>
            </w:r>
            <w:r w:rsidR="004262C3" w:rsidRPr="005F4E26">
              <w:rPr>
                <w:rFonts w:cstheme="minorHAnsi"/>
              </w:rPr>
              <w:t>?</w:t>
            </w:r>
          </w:p>
        </w:tc>
        <w:tc>
          <w:tcPr>
            <w:tcW w:w="635" w:type="dxa"/>
          </w:tcPr>
          <w:p w:rsidR="00D9284D" w:rsidRPr="005F4E26" w:rsidRDefault="00D9284D" w:rsidP="005F4E26">
            <w:pPr>
              <w:rPr>
                <w:rFonts w:cstheme="minorHAnsi"/>
              </w:rPr>
            </w:pPr>
          </w:p>
        </w:tc>
        <w:tc>
          <w:tcPr>
            <w:tcW w:w="695" w:type="dxa"/>
          </w:tcPr>
          <w:p w:rsidR="00D9284D" w:rsidRPr="005F4E26" w:rsidRDefault="00D9284D" w:rsidP="005F4E26">
            <w:pPr>
              <w:rPr>
                <w:rFonts w:cstheme="minorHAnsi"/>
              </w:rPr>
            </w:pPr>
          </w:p>
        </w:tc>
        <w:tc>
          <w:tcPr>
            <w:tcW w:w="623" w:type="dxa"/>
          </w:tcPr>
          <w:p w:rsidR="00D9284D" w:rsidRPr="005F4E26" w:rsidRDefault="00D9284D" w:rsidP="005F4E26">
            <w:pPr>
              <w:rPr>
                <w:rFonts w:cstheme="minorHAnsi"/>
              </w:rPr>
            </w:pPr>
          </w:p>
        </w:tc>
      </w:tr>
      <w:tr w:rsidR="00D9284D" w:rsidRPr="005F4E26" w:rsidTr="00A44D93">
        <w:tc>
          <w:tcPr>
            <w:tcW w:w="568" w:type="dxa"/>
          </w:tcPr>
          <w:p w:rsidR="00D9284D" w:rsidRPr="005F4E26" w:rsidRDefault="008D3813" w:rsidP="005F4E26">
            <w:pPr>
              <w:rPr>
                <w:rFonts w:cstheme="minorHAnsi"/>
                <w:b/>
                <w:sz w:val="20"/>
                <w:szCs w:val="20"/>
              </w:rPr>
            </w:pPr>
            <w:r w:rsidRPr="005F4E26">
              <w:rPr>
                <w:rFonts w:cstheme="minorHAnsi"/>
                <w:b/>
                <w:sz w:val="20"/>
                <w:szCs w:val="20"/>
              </w:rPr>
              <w:t>1</w:t>
            </w:r>
            <w:r w:rsidR="00B167F1" w:rsidRPr="005F4E26"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6891" w:type="dxa"/>
          </w:tcPr>
          <w:p w:rsidR="00D9284D" w:rsidRPr="005F4E26" w:rsidRDefault="00B81DFB" w:rsidP="005F4E26">
            <w:pPr>
              <w:rPr>
                <w:rFonts w:cstheme="minorHAnsi"/>
              </w:rPr>
            </w:pPr>
            <w:r w:rsidRPr="005F4E26">
              <w:rPr>
                <w:rFonts w:cstheme="minorHAnsi"/>
              </w:rPr>
              <w:t xml:space="preserve">Are yellow bags tied appropriately with a swan neck tie when </w:t>
            </w:r>
            <w:r w:rsidR="002B229A" w:rsidRPr="005F4E26">
              <w:rPr>
                <w:rFonts w:cstheme="minorHAnsi"/>
              </w:rPr>
              <w:t>⅔</w:t>
            </w:r>
            <w:r w:rsidRPr="005F4E26">
              <w:rPr>
                <w:rFonts w:cstheme="minorHAnsi"/>
              </w:rPr>
              <w:t xml:space="preserve"> full?</w:t>
            </w:r>
          </w:p>
        </w:tc>
        <w:tc>
          <w:tcPr>
            <w:tcW w:w="635" w:type="dxa"/>
          </w:tcPr>
          <w:p w:rsidR="00D9284D" w:rsidRPr="005F4E26" w:rsidRDefault="00D9284D" w:rsidP="005F4E26">
            <w:pPr>
              <w:rPr>
                <w:rFonts w:cstheme="minorHAnsi"/>
              </w:rPr>
            </w:pPr>
          </w:p>
        </w:tc>
        <w:tc>
          <w:tcPr>
            <w:tcW w:w="695" w:type="dxa"/>
          </w:tcPr>
          <w:p w:rsidR="00D9284D" w:rsidRPr="005F4E26" w:rsidRDefault="00D9284D" w:rsidP="005F4E26">
            <w:pPr>
              <w:rPr>
                <w:rFonts w:cstheme="minorHAnsi"/>
              </w:rPr>
            </w:pPr>
          </w:p>
        </w:tc>
        <w:tc>
          <w:tcPr>
            <w:tcW w:w="623" w:type="dxa"/>
          </w:tcPr>
          <w:p w:rsidR="00D9284D" w:rsidRPr="005F4E26" w:rsidRDefault="00D9284D" w:rsidP="005F4E26">
            <w:pPr>
              <w:rPr>
                <w:rFonts w:cstheme="minorHAnsi"/>
              </w:rPr>
            </w:pPr>
          </w:p>
        </w:tc>
      </w:tr>
      <w:tr w:rsidR="00D9284D" w:rsidRPr="005F4E26" w:rsidTr="00A44D93">
        <w:tc>
          <w:tcPr>
            <w:tcW w:w="568" w:type="dxa"/>
          </w:tcPr>
          <w:p w:rsidR="00D9284D" w:rsidRPr="005F4E26" w:rsidRDefault="008D3813" w:rsidP="005F4E26">
            <w:pPr>
              <w:rPr>
                <w:rFonts w:cstheme="minorHAnsi"/>
                <w:b/>
                <w:sz w:val="20"/>
                <w:szCs w:val="20"/>
              </w:rPr>
            </w:pPr>
            <w:r w:rsidRPr="005F4E26">
              <w:rPr>
                <w:rFonts w:cstheme="minorHAnsi"/>
                <w:b/>
                <w:sz w:val="20"/>
                <w:szCs w:val="20"/>
              </w:rPr>
              <w:t>1</w:t>
            </w:r>
            <w:r w:rsidR="00B167F1" w:rsidRPr="005F4E26"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6891" w:type="dxa"/>
          </w:tcPr>
          <w:p w:rsidR="00D9284D" w:rsidRPr="005F4E26" w:rsidRDefault="00D9284D" w:rsidP="005F4E26">
            <w:pPr>
              <w:rPr>
                <w:rFonts w:cstheme="minorHAnsi"/>
              </w:rPr>
            </w:pPr>
            <w:r w:rsidRPr="005F4E26">
              <w:rPr>
                <w:rFonts w:cstheme="minorHAnsi"/>
              </w:rPr>
              <w:t>Is the bin holder front opening to facilitate ease of removal of</w:t>
            </w:r>
            <w:r w:rsidR="00D52AB0" w:rsidRPr="005F4E26">
              <w:rPr>
                <w:rFonts w:cstheme="minorHAnsi"/>
              </w:rPr>
              <w:t xml:space="preserve"> a</w:t>
            </w:r>
            <w:r w:rsidRPr="005F4E26">
              <w:rPr>
                <w:rFonts w:cstheme="minorHAnsi"/>
              </w:rPr>
              <w:t xml:space="preserve"> filled yellow bag and is </w:t>
            </w:r>
            <w:r w:rsidR="00D52AB0" w:rsidRPr="005F4E26">
              <w:rPr>
                <w:rFonts w:cstheme="minorHAnsi"/>
              </w:rPr>
              <w:t xml:space="preserve">it </w:t>
            </w:r>
            <w:r w:rsidRPr="005F4E26">
              <w:rPr>
                <w:rFonts w:cstheme="minorHAnsi"/>
              </w:rPr>
              <w:t>constructed in a way that</w:t>
            </w:r>
            <w:r w:rsidR="008D3813" w:rsidRPr="005F4E26">
              <w:rPr>
                <w:rFonts w:cstheme="minorHAnsi"/>
              </w:rPr>
              <w:t xml:space="preserve"> facilitates effective cleaning</w:t>
            </w:r>
            <w:r w:rsidRPr="005F4E26">
              <w:rPr>
                <w:rFonts w:cstheme="minorHAnsi"/>
              </w:rPr>
              <w:t>?</w:t>
            </w:r>
          </w:p>
        </w:tc>
        <w:tc>
          <w:tcPr>
            <w:tcW w:w="635" w:type="dxa"/>
          </w:tcPr>
          <w:p w:rsidR="00D9284D" w:rsidRPr="005F4E26" w:rsidRDefault="00D9284D" w:rsidP="005F4E26">
            <w:pPr>
              <w:rPr>
                <w:rFonts w:cstheme="minorHAnsi"/>
              </w:rPr>
            </w:pPr>
          </w:p>
        </w:tc>
        <w:tc>
          <w:tcPr>
            <w:tcW w:w="695" w:type="dxa"/>
          </w:tcPr>
          <w:p w:rsidR="00D9284D" w:rsidRPr="005F4E26" w:rsidRDefault="00D9284D" w:rsidP="005F4E26">
            <w:pPr>
              <w:rPr>
                <w:rFonts w:cstheme="minorHAnsi"/>
              </w:rPr>
            </w:pPr>
          </w:p>
        </w:tc>
        <w:tc>
          <w:tcPr>
            <w:tcW w:w="623" w:type="dxa"/>
          </w:tcPr>
          <w:p w:rsidR="00D9284D" w:rsidRPr="005F4E26" w:rsidRDefault="00D9284D" w:rsidP="005F4E26">
            <w:pPr>
              <w:rPr>
                <w:rFonts w:cstheme="minorHAnsi"/>
              </w:rPr>
            </w:pPr>
          </w:p>
        </w:tc>
      </w:tr>
      <w:tr w:rsidR="00D9284D" w:rsidRPr="005F4E26" w:rsidTr="00065E21">
        <w:trPr>
          <w:trHeight w:val="650"/>
        </w:trPr>
        <w:tc>
          <w:tcPr>
            <w:tcW w:w="568" w:type="dxa"/>
          </w:tcPr>
          <w:p w:rsidR="00D9284D" w:rsidRPr="005F4E26" w:rsidRDefault="008D3813" w:rsidP="005F4E26">
            <w:pPr>
              <w:rPr>
                <w:rFonts w:cstheme="minorHAnsi"/>
                <w:b/>
                <w:sz w:val="20"/>
                <w:szCs w:val="20"/>
              </w:rPr>
            </w:pPr>
            <w:r w:rsidRPr="005F4E26">
              <w:rPr>
                <w:rFonts w:cstheme="minorHAnsi"/>
                <w:b/>
                <w:sz w:val="20"/>
                <w:szCs w:val="20"/>
              </w:rPr>
              <w:t>1</w:t>
            </w:r>
            <w:r w:rsidR="00B167F1" w:rsidRPr="005F4E26">
              <w:rPr>
                <w:rFonts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6891" w:type="dxa"/>
          </w:tcPr>
          <w:p w:rsidR="00D9284D" w:rsidRPr="005F4E26" w:rsidRDefault="00D9284D" w:rsidP="005F4E26">
            <w:pPr>
              <w:rPr>
                <w:rFonts w:cstheme="minorHAnsi"/>
              </w:rPr>
            </w:pPr>
            <w:r w:rsidRPr="005F4E26">
              <w:rPr>
                <w:rFonts w:cstheme="minorHAnsi"/>
              </w:rPr>
              <w:t>Does the bin holder list the permitted contents, display the biohazard symbol and text “</w:t>
            </w:r>
            <w:r w:rsidRPr="005F4E26">
              <w:rPr>
                <w:rFonts w:cstheme="minorHAnsi"/>
                <w:i/>
              </w:rPr>
              <w:t>clinical risk waste</w:t>
            </w:r>
            <w:r w:rsidR="00987F69" w:rsidRPr="005F4E26">
              <w:rPr>
                <w:rFonts w:cstheme="minorHAnsi"/>
              </w:rPr>
              <w:t xml:space="preserve">”?  </w:t>
            </w:r>
          </w:p>
        </w:tc>
        <w:tc>
          <w:tcPr>
            <w:tcW w:w="635" w:type="dxa"/>
          </w:tcPr>
          <w:p w:rsidR="00D9284D" w:rsidRPr="005F4E26" w:rsidRDefault="00D9284D" w:rsidP="005F4E26">
            <w:pPr>
              <w:rPr>
                <w:rFonts w:cstheme="minorHAnsi"/>
                <w:b/>
              </w:rPr>
            </w:pPr>
          </w:p>
        </w:tc>
        <w:tc>
          <w:tcPr>
            <w:tcW w:w="695" w:type="dxa"/>
          </w:tcPr>
          <w:p w:rsidR="00D9284D" w:rsidRPr="005F4E26" w:rsidRDefault="00D9284D" w:rsidP="005F4E26">
            <w:pPr>
              <w:rPr>
                <w:rFonts w:cstheme="minorHAnsi"/>
                <w:b/>
              </w:rPr>
            </w:pPr>
          </w:p>
        </w:tc>
        <w:tc>
          <w:tcPr>
            <w:tcW w:w="623" w:type="dxa"/>
          </w:tcPr>
          <w:p w:rsidR="00D9284D" w:rsidRPr="005F4E26" w:rsidRDefault="00D9284D" w:rsidP="005F4E26">
            <w:pPr>
              <w:rPr>
                <w:rFonts w:cstheme="minorHAnsi"/>
                <w:b/>
              </w:rPr>
            </w:pPr>
          </w:p>
        </w:tc>
      </w:tr>
      <w:tr w:rsidR="00D9284D" w:rsidRPr="005F4E26" w:rsidTr="00A44D93">
        <w:tc>
          <w:tcPr>
            <w:tcW w:w="568" w:type="dxa"/>
            <w:shd w:val="clear" w:color="auto" w:fill="F2F2F2" w:themeFill="background1" w:themeFillShade="F2"/>
          </w:tcPr>
          <w:p w:rsidR="00D9284D" w:rsidRPr="005F4E26" w:rsidRDefault="00D9284D" w:rsidP="005F4E26">
            <w:pPr>
              <w:rPr>
                <w:rFonts w:cstheme="minorHAnsi"/>
              </w:rPr>
            </w:pPr>
          </w:p>
        </w:tc>
        <w:tc>
          <w:tcPr>
            <w:tcW w:w="6891" w:type="dxa"/>
            <w:shd w:val="clear" w:color="auto" w:fill="F2F2F2" w:themeFill="background1" w:themeFillShade="F2"/>
          </w:tcPr>
          <w:p w:rsidR="00D9284D" w:rsidRPr="005F4E26" w:rsidRDefault="00D9284D" w:rsidP="005F4E26">
            <w:pPr>
              <w:rPr>
                <w:rFonts w:cstheme="minorHAnsi"/>
              </w:rPr>
            </w:pPr>
            <w:r w:rsidRPr="005F4E26">
              <w:rPr>
                <w:rFonts w:cstheme="minorHAnsi"/>
                <w:b/>
              </w:rPr>
              <w:t>Clinical risk waste collected in rigid bins</w:t>
            </w:r>
          </w:p>
        </w:tc>
        <w:tc>
          <w:tcPr>
            <w:tcW w:w="635" w:type="dxa"/>
            <w:shd w:val="clear" w:color="auto" w:fill="F2F2F2" w:themeFill="background1" w:themeFillShade="F2"/>
          </w:tcPr>
          <w:p w:rsidR="00D9284D" w:rsidRPr="005F4E26" w:rsidRDefault="00D9284D" w:rsidP="005F4E26">
            <w:pPr>
              <w:rPr>
                <w:rFonts w:cstheme="minorHAnsi"/>
                <w:b/>
              </w:rPr>
            </w:pPr>
          </w:p>
        </w:tc>
        <w:tc>
          <w:tcPr>
            <w:tcW w:w="695" w:type="dxa"/>
            <w:shd w:val="clear" w:color="auto" w:fill="F2F2F2" w:themeFill="background1" w:themeFillShade="F2"/>
          </w:tcPr>
          <w:p w:rsidR="00D9284D" w:rsidRPr="005F4E26" w:rsidRDefault="00D9284D" w:rsidP="005F4E26">
            <w:pPr>
              <w:rPr>
                <w:rFonts w:cstheme="minorHAnsi"/>
                <w:b/>
              </w:rPr>
            </w:pPr>
          </w:p>
        </w:tc>
        <w:tc>
          <w:tcPr>
            <w:tcW w:w="623" w:type="dxa"/>
            <w:shd w:val="clear" w:color="auto" w:fill="F2F2F2" w:themeFill="background1" w:themeFillShade="F2"/>
          </w:tcPr>
          <w:p w:rsidR="00D9284D" w:rsidRPr="005F4E26" w:rsidRDefault="00D9284D" w:rsidP="005F4E26">
            <w:pPr>
              <w:rPr>
                <w:rFonts w:cstheme="minorHAnsi"/>
                <w:b/>
              </w:rPr>
            </w:pPr>
          </w:p>
        </w:tc>
      </w:tr>
      <w:tr w:rsidR="00D9284D" w:rsidRPr="005F4E26" w:rsidTr="00A44D93">
        <w:tc>
          <w:tcPr>
            <w:tcW w:w="568" w:type="dxa"/>
          </w:tcPr>
          <w:p w:rsidR="00D9284D" w:rsidRPr="005F4E26" w:rsidRDefault="008D3813" w:rsidP="005F4E26">
            <w:pPr>
              <w:rPr>
                <w:rFonts w:cstheme="minorHAnsi"/>
                <w:b/>
                <w:sz w:val="20"/>
                <w:szCs w:val="20"/>
              </w:rPr>
            </w:pPr>
            <w:r w:rsidRPr="005F4E26">
              <w:rPr>
                <w:rFonts w:cstheme="minorHAnsi"/>
                <w:b/>
                <w:sz w:val="20"/>
                <w:szCs w:val="20"/>
              </w:rPr>
              <w:t>1</w:t>
            </w:r>
            <w:r w:rsidR="00B167F1" w:rsidRPr="005F4E26">
              <w:rPr>
                <w:rFonts w:cstheme="minorHAnsi"/>
                <w:b/>
                <w:sz w:val="20"/>
                <w:szCs w:val="20"/>
              </w:rPr>
              <w:t>7</w:t>
            </w:r>
          </w:p>
        </w:tc>
        <w:tc>
          <w:tcPr>
            <w:tcW w:w="6891" w:type="dxa"/>
          </w:tcPr>
          <w:p w:rsidR="00D9284D" w:rsidRPr="005F4E26" w:rsidRDefault="00D9284D" w:rsidP="005F4E26">
            <w:pPr>
              <w:rPr>
                <w:rFonts w:cstheme="minorHAnsi"/>
              </w:rPr>
            </w:pPr>
            <w:r w:rsidRPr="005F4E26">
              <w:rPr>
                <w:rFonts w:cstheme="minorHAnsi"/>
              </w:rPr>
              <w:t>Do yellow rigid bins in use comply with P621, and display a class 6.2 label plus the text UN 3291?</w:t>
            </w:r>
          </w:p>
        </w:tc>
        <w:tc>
          <w:tcPr>
            <w:tcW w:w="635" w:type="dxa"/>
          </w:tcPr>
          <w:p w:rsidR="00D9284D" w:rsidRPr="005F4E26" w:rsidRDefault="00D9284D" w:rsidP="005F4E26">
            <w:pPr>
              <w:rPr>
                <w:rFonts w:cstheme="minorHAnsi"/>
                <w:b/>
              </w:rPr>
            </w:pPr>
          </w:p>
        </w:tc>
        <w:tc>
          <w:tcPr>
            <w:tcW w:w="695" w:type="dxa"/>
          </w:tcPr>
          <w:p w:rsidR="00D9284D" w:rsidRPr="005F4E26" w:rsidRDefault="00D9284D" w:rsidP="005F4E26">
            <w:pPr>
              <w:rPr>
                <w:rFonts w:cstheme="minorHAnsi"/>
                <w:b/>
              </w:rPr>
            </w:pPr>
          </w:p>
        </w:tc>
        <w:tc>
          <w:tcPr>
            <w:tcW w:w="623" w:type="dxa"/>
          </w:tcPr>
          <w:p w:rsidR="00D9284D" w:rsidRPr="005F4E26" w:rsidRDefault="00D9284D" w:rsidP="005F4E26">
            <w:pPr>
              <w:rPr>
                <w:rFonts w:cstheme="minorHAnsi"/>
                <w:b/>
              </w:rPr>
            </w:pPr>
          </w:p>
        </w:tc>
      </w:tr>
      <w:tr w:rsidR="00D9284D" w:rsidRPr="005F4E26" w:rsidTr="00A44D93">
        <w:tc>
          <w:tcPr>
            <w:tcW w:w="568" w:type="dxa"/>
          </w:tcPr>
          <w:p w:rsidR="00D9284D" w:rsidRPr="005F4E26" w:rsidRDefault="008D3813" w:rsidP="005F4E26">
            <w:pPr>
              <w:rPr>
                <w:rFonts w:cstheme="minorHAnsi"/>
                <w:b/>
                <w:sz w:val="20"/>
                <w:szCs w:val="20"/>
              </w:rPr>
            </w:pPr>
            <w:r w:rsidRPr="005F4E26">
              <w:rPr>
                <w:rFonts w:cstheme="minorHAnsi"/>
                <w:b/>
                <w:sz w:val="20"/>
                <w:szCs w:val="20"/>
              </w:rPr>
              <w:t>1</w:t>
            </w:r>
            <w:r w:rsidR="00B167F1" w:rsidRPr="005F4E26">
              <w:rPr>
                <w:rFonts w:cstheme="minorHAnsi"/>
                <w:b/>
                <w:sz w:val="20"/>
                <w:szCs w:val="20"/>
              </w:rPr>
              <w:t>8</w:t>
            </w:r>
          </w:p>
        </w:tc>
        <w:tc>
          <w:tcPr>
            <w:tcW w:w="6891" w:type="dxa"/>
          </w:tcPr>
          <w:p w:rsidR="00D9284D" w:rsidRPr="005F4E26" w:rsidRDefault="00D9284D" w:rsidP="005F4E26">
            <w:pPr>
              <w:rPr>
                <w:rFonts w:cstheme="minorHAnsi"/>
              </w:rPr>
            </w:pPr>
            <w:r w:rsidRPr="005F4E26">
              <w:rPr>
                <w:rFonts w:cstheme="minorHAnsi"/>
              </w:rPr>
              <w:t>Does the person assembling and closing the rigid bins comply with manufacturer’s instructions on use?</w:t>
            </w:r>
          </w:p>
        </w:tc>
        <w:tc>
          <w:tcPr>
            <w:tcW w:w="635" w:type="dxa"/>
          </w:tcPr>
          <w:p w:rsidR="00D9284D" w:rsidRPr="005F4E26" w:rsidRDefault="00D9284D" w:rsidP="005F4E26">
            <w:pPr>
              <w:rPr>
                <w:rFonts w:cstheme="minorHAnsi"/>
                <w:b/>
              </w:rPr>
            </w:pPr>
          </w:p>
        </w:tc>
        <w:tc>
          <w:tcPr>
            <w:tcW w:w="695" w:type="dxa"/>
          </w:tcPr>
          <w:p w:rsidR="00D9284D" w:rsidRPr="005F4E26" w:rsidRDefault="00D9284D" w:rsidP="005F4E26">
            <w:pPr>
              <w:rPr>
                <w:rFonts w:cstheme="minorHAnsi"/>
                <w:b/>
              </w:rPr>
            </w:pPr>
          </w:p>
        </w:tc>
        <w:tc>
          <w:tcPr>
            <w:tcW w:w="623" w:type="dxa"/>
          </w:tcPr>
          <w:p w:rsidR="00D9284D" w:rsidRPr="005F4E26" w:rsidRDefault="00D9284D" w:rsidP="005F4E26">
            <w:pPr>
              <w:rPr>
                <w:rFonts w:cstheme="minorHAnsi"/>
                <w:b/>
              </w:rPr>
            </w:pPr>
          </w:p>
        </w:tc>
      </w:tr>
      <w:tr w:rsidR="00D9284D" w:rsidRPr="005F4E26" w:rsidTr="00A44D93">
        <w:tc>
          <w:tcPr>
            <w:tcW w:w="568" w:type="dxa"/>
          </w:tcPr>
          <w:p w:rsidR="00D9284D" w:rsidRPr="005F4E26" w:rsidRDefault="008D3813" w:rsidP="005F4E26">
            <w:pPr>
              <w:rPr>
                <w:rFonts w:cstheme="minorHAnsi"/>
                <w:b/>
                <w:sz w:val="20"/>
                <w:szCs w:val="20"/>
              </w:rPr>
            </w:pPr>
            <w:r w:rsidRPr="005F4E26">
              <w:rPr>
                <w:rFonts w:cstheme="minorHAnsi"/>
                <w:b/>
                <w:sz w:val="20"/>
                <w:szCs w:val="20"/>
              </w:rPr>
              <w:t>1</w:t>
            </w:r>
            <w:r w:rsidR="00B167F1" w:rsidRPr="005F4E26">
              <w:rPr>
                <w:rFonts w:cstheme="minorHAnsi"/>
                <w:b/>
                <w:sz w:val="20"/>
                <w:szCs w:val="20"/>
              </w:rPr>
              <w:t>9</w:t>
            </w:r>
          </w:p>
        </w:tc>
        <w:tc>
          <w:tcPr>
            <w:tcW w:w="6891" w:type="dxa"/>
          </w:tcPr>
          <w:p w:rsidR="00D9284D" w:rsidRPr="005F4E26" w:rsidRDefault="00D9284D" w:rsidP="005F4E26">
            <w:pPr>
              <w:rPr>
                <w:rFonts w:cstheme="minorHAnsi"/>
              </w:rPr>
            </w:pPr>
            <w:r w:rsidRPr="005F4E26">
              <w:rPr>
                <w:rFonts w:cstheme="minorHAnsi"/>
              </w:rPr>
              <w:t>Are posters with appropriate instructions on use lo</w:t>
            </w:r>
            <w:r w:rsidR="005321C0" w:rsidRPr="005F4E26">
              <w:rPr>
                <w:rFonts w:cstheme="minorHAnsi"/>
              </w:rPr>
              <w:t>cated at bin assembly locations</w:t>
            </w:r>
            <w:r w:rsidRPr="005F4E26">
              <w:rPr>
                <w:rFonts w:cstheme="minorHAnsi"/>
              </w:rPr>
              <w:t>?</w:t>
            </w:r>
          </w:p>
        </w:tc>
        <w:tc>
          <w:tcPr>
            <w:tcW w:w="635" w:type="dxa"/>
          </w:tcPr>
          <w:p w:rsidR="00D9284D" w:rsidRPr="005F4E26" w:rsidRDefault="00D9284D" w:rsidP="005F4E26">
            <w:pPr>
              <w:rPr>
                <w:rFonts w:cstheme="minorHAnsi"/>
                <w:b/>
              </w:rPr>
            </w:pPr>
          </w:p>
        </w:tc>
        <w:tc>
          <w:tcPr>
            <w:tcW w:w="695" w:type="dxa"/>
          </w:tcPr>
          <w:p w:rsidR="00D9284D" w:rsidRPr="005F4E26" w:rsidRDefault="00D9284D" w:rsidP="005F4E26">
            <w:pPr>
              <w:rPr>
                <w:rFonts w:cstheme="minorHAnsi"/>
                <w:b/>
              </w:rPr>
            </w:pPr>
          </w:p>
        </w:tc>
        <w:tc>
          <w:tcPr>
            <w:tcW w:w="623" w:type="dxa"/>
          </w:tcPr>
          <w:p w:rsidR="00D9284D" w:rsidRPr="005F4E26" w:rsidRDefault="00D9284D" w:rsidP="005F4E26">
            <w:pPr>
              <w:rPr>
                <w:rFonts w:cstheme="minorHAnsi"/>
                <w:b/>
              </w:rPr>
            </w:pPr>
          </w:p>
        </w:tc>
      </w:tr>
      <w:tr w:rsidR="00D9284D" w:rsidRPr="005F4E26" w:rsidTr="00A44D93">
        <w:tc>
          <w:tcPr>
            <w:tcW w:w="568" w:type="dxa"/>
          </w:tcPr>
          <w:p w:rsidR="00D9284D" w:rsidRPr="005F4E26" w:rsidRDefault="00B167F1" w:rsidP="005F4E26">
            <w:pPr>
              <w:rPr>
                <w:rFonts w:cstheme="minorHAnsi"/>
                <w:b/>
                <w:sz w:val="20"/>
                <w:szCs w:val="20"/>
              </w:rPr>
            </w:pPr>
            <w:r w:rsidRPr="005F4E26">
              <w:rPr>
                <w:rFonts w:cstheme="minorHAnsi"/>
                <w:b/>
                <w:sz w:val="20"/>
                <w:szCs w:val="20"/>
              </w:rPr>
              <w:t>20</w:t>
            </w:r>
          </w:p>
        </w:tc>
        <w:tc>
          <w:tcPr>
            <w:tcW w:w="6891" w:type="dxa"/>
          </w:tcPr>
          <w:p w:rsidR="00D9284D" w:rsidRPr="005F4E26" w:rsidRDefault="005321C0" w:rsidP="005F4E26">
            <w:pPr>
              <w:rPr>
                <w:rFonts w:cstheme="minorHAnsi"/>
              </w:rPr>
            </w:pPr>
            <w:r w:rsidRPr="005F4E26">
              <w:rPr>
                <w:rFonts w:cstheme="minorHAnsi"/>
              </w:rPr>
              <w:t>Is the</w:t>
            </w:r>
            <w:r w:rsidR="00D9284D" w:rsidRPr="005F4E26">
              <w:rPr>
                <w:rFonts w:cstheme="minorHAnsi"/>
              </w:rPr>
              <w:t xml:space="preserve"> lid of the rigid bin closed when not in use?</w:t>
            </w:r>
          </w:p>
        </w:tc>
        <w:tc>
          <w:tcPr>
            <w:tcW w:w="635" w:type="dxa"/>
          </w:tcPr>
          <w:p w:rsidR="00D9284D" w:rsidRPr="005F4E26" w:rsidRDefault="00D9284D" w:rsidP="005F4E26">
            <w:pPr>
              <w:rPr>
                <w:rFonts w:cstheme="minorHAnsi"/>
                <w:b/>
              </w:rPr>
            </w:pPr>
          </w:p>
        </w:tc>
        <w:tc>
          <w:tcPr>
            <w:tcW w:w="695" w:type="dxa"/>
          </w:tcPr>
          <w:p w:rsidR="00D9284D" w:rsidRPr="005F4E26" w:rsidRDefault="00D9284D" w:rsidP="005F4E26">
            <w:pPr>
              <w:rPr>
                <w:rFonts w:cstheme="minorHAnsi"/>
                <w:b/>
              </w:rPr>
            </w:pPr>
          </w:p>
        </w:tc>
        <w:tc>
          <w:tcPr>
            <w:tcW w:w="623" w:type="dxa"/>
          </w:tcPr>
          <w:p w:rsidR="00D9284D" w:rsidRPr="005F4E26" w:rsidRDefault="00D9284D" w:rsidP="005F4E26">
            <w:pPr>
              <w:rPr>
                <w:rFonts w:cstheme="minorHAnsi"/>
                <w:b/>
              </w:rPr>
            </w:pPr>
          </w:p>
        </w:tc>
      </w:tr>
      <w:tr w:rsidR="00D9284D" w:rsidRPr="005F4E26" w:rsidTr="00A44D93">
        <w:tc>
          <w:tcPr>
            <w:tcW w:w="568" w:type="dxa"/>
          </w:tcPr>
          <w:p w:rsidR="00D9284D" w:rsidRPr="005F4E26" w:rsidRDefault="009E479A" w:rsidP="005F4E26">
            <w:pPr>
              <w:rPr>
                <w:rFonts w:cstheme="minorHAnsi"/>
                <w:b/>
                <w:sz w:val="20"/>
                <w:szCs w:val="20"/>
              </w:rPr>
            </w:pPr>
            <w:r w:rsidRPr="005F4E26">
              <w:rPr>
                <w:rFonts w:cstheme="minorHAnsi"/>
                <w:b/>
                <w:sz w:val="20"/>
                <w:szCs w:val="20"/>
              </w:rPr>
              <w:t>2</w:t>
            </w:r>
            <w:r w:rsidR="00B167F1" w:rsidRPr="005F4E26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6891" w:type="dxa"/>
          </w:tcPr>
          <w:p w:rsidR="00D9284D" w:rsidRPr="005F4E26" w:rsidRDefault="00D9284D" w:rsidP="005F4E26">
            <w:pPr>
              <w:rPr>
                <w:rFonts w:cstheme="minorHAnsi"/>
              </w:rPr>
            </w:pPr>
            <w:r w:rsidRPr="005F4E26">
              <w:rPr>
                <w:rFonts w:cstheme="minorHAnsi"/>
              </w:rPr>
              <w:t>Are rigid bins of a suitable size used to minimise length of time of use?</w:t>
            </w:r>
          </w:p>
        </w:tc>
        <w:tc>
          <w:tcPr>
            <w:tcW w:w="635" w:type="dxa"/>
          </w:tcPr>
          <w:p w:rsidR="00D9284D" w:rsidRPr="005F4E26" w:rsidRDefault="00D9284D" w:rsidP="005F4E26">
            <w:pPr>
              <w:rPr>
                <w:rFonts w:cstheme="minorHAnsi"/>
                <w:b/>
              </w:rPr>
            </w:pPr>
          </w:p>
        </w:tc>
        <w:tc>
          <w:tcPr>
            <w:tcW w:w="695" w:type="dxa"/>
          </w:tcPr>
          <w:p w:rsidR="00D9284D" w:rsidRPr="005F4E26" w:rsidRDefault="00D9284D" w:rsidP="005F4E26">
            <w:pPr>
              <w:rPr>
                <w:rFonts w:cstheme="minorHAnsi"/>
                <w:b/>
              </w:rPr>
            </w:pPr>
          </w:p>
        </w:tc>
        <w:tc>
          <w:tcPr>
            <w:tcW w:w="623" w:type="dxa"/>
          </w:tcPr>
          <w:p w:rsidR="00D9284D" w:rsidRPr="005F4E26" w:rsidRDefault="00D9284D" w:rsidP="005F4E26">
            <w:pPr>
              <w:rPr>
                <w:rFonts w:cstheme="minorHAnsi"/>
                <w:b/>
              </w:rPr>
            </w:pPr>
          </w:p>
        </w:tc>
      </w:tr>
      <w:tr w:rsidR="00D9284D" w:rsidRPr="005F4E26" w:rsidTr="00A44D93">
        <w:tc>
          <w:tcPr>
            <w:tcW w:w="568" w:type="dxa"/>
          </w:tcPr>
          <w:p w:rsidR="00D9284D" w:rsidRPr="005F4E26" w:rsidRDefault="008D3813" w:rsidP="005F4E26">
            <w:pPr>
              <w:rPr>
                <w:rFonts w:cstheme="minorHAnsi"/>
                <w:b/>
                <w:sz w:val="20"/>
                <w:szCs w:val="20"/>
              </w:rPr>
            </w:pPr>
            <w:r w:rsidRPr="005F4E26">
              <w:rPr>
                <w:rFonts w:cstheme="minorHAnsi"/>
                <w:b/>
                <w:sz w:val="20"/>
                <w:szCs w:val="20"/>
              </w:rPr>
              <w:t>2</w:t>
            </w:r>
            <w:r w:rsidR="00B167F1" w:rsidRPr="005F4E26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6891" w:type="dxa"/>
          </w:tcPr>
          <w:p w:rsidR="00D9284D" w:rsidRPr="005F4E26" w:rsidRDefault="00241EF1" w:rsidP="005F4E26">
            <w:pPr>
              <w:rPr>
                <w:rFonts w:cstheme="minorHAnsi"/>
              </w:rPr>
            </w:pPr>
            <w:r w:rsidRPr="005F4E26">
              <w:rPr>
                <w:rFonts w:cstheme="minorHAnsi"/>
              </w:rPr>
              <w:t xml:space="preserve">Are bins filled in accordance with </w:t>
            </w:r>
            <w:r w:rsidR="005321C0" w:rsidRPr="005F4E26">
              <w:rPr>
                <w:rFonts w:cstheme="minorHAnsi"/>
              </w:rPr>
              <w:t>manufacturers’</w:t>
            </w:r>
            <w:r w:rsidRPr="005F4E26">
              <w:rPr>
                <w:rFonts w:cstheme="minorHAnsi"/>
              </w:rPr>
              <w:t xml:space="preserve"> guidelines </w:t>
            </w:r>
            <w:r w:rsidR="00B7581E" w:rsidRPr="005F4E26">
              <w:rPr>
                <w:rFonts w:cstheme="minorHAnsi"/>
              </w:rPr>
              <w:t>i.e</w:t>
            </w:r>
            <w:r w:rsidR="003A161B">
              <w:rPr>
                <w:rFonts w:cstheme="minorHAnsi"/>
              </w:rPr>
              <w:t>.</w:t>
            </w:r>
            <w:r w:rsidR="00B7581E" w:rsidRPr="005F4E26">
              <w:rPr>
                <w:rFonts w:cstheme="minorHAnsi"/>
              </w:rPr>
              <w:t xml:space="preserve"> bins</w:t>
            </w:r>
            <w:r w:rsidR="00D9284D" w:rsidRPr="005F4E26">
              <w:rPr>
                <w:rFonts w:cstheme="minorHAnsi"/>
              </w:rPr>
              <w:t xml:space="preserve"> are not filled beyond a maximum</w:t>
            </w:r>
            <w:r w:rsidR="00B81DFB" w:rsidRPr="005F4E26">
              <w:rPr>
                <w:rFonts w:cstheme="minorHAnsi"/>
              </w:rPr>
              <w:t xml:space="preserve"> ⅔</w:t>
            </w:r>
            <w:r w:rsidR="00D9284D" w:rsidRPr="005F4E26">
              <w:rPr>
                <w:rFonts w:cstheme="minorHAnsi"/>
              </w:rPr>
              <w:t xml:space="preserve"> full or at </w:t>
            </w:r>
            <w:r w:rsidR="008D3813" w:rsidRPr="005F4E26">
              <w:rPr>
                <w:rFonts w:cstheme="minorHAnsi"/>
              </w:rPr>
              <w:t>manufacturers</w:t>
            </w:r>
            <w:r w:rsidR="00D9284D" w:rsidRPr="005F4E26">
              <w:rPr>
                <w:rFonts w:cstheme="minorHAnsi"/>
              </w:rPr>
              <w:t xml:space="preserve"> fill line</w:t>
            </w:r>
            <w:r w:rsidR="00B15BAA" w:rsidRPr="005F4E26">
              <w:rPr>
                <w:rFonts w:cstheme="minorHAnsi"/>
              </w:rPr>
              <w:t>?</w:t>
            </w:r>
          </w:p>
        </w:tc>
        <w:tc>
          <w:tcPr>
            <w:tcW w:w="635" w:type="dxa"/>
          </w:tcPr>
          <w:p w:rsidR="00D9284D" w:rsidRPr="005F4E26" w:rsidRDefault="00D9284D" w:rsidP="005F4E26">
            <w:pPr>
              <w:rPr>
                <w:rFonts w:cstheme="minorHAnsi"/>
                <w:b/>
              </w:rPr>
            </w:pPr>
          </w:p>
        </w:tc>
        <w:tc>
          <w:tcPr>
            <w:tcW w:w="695" w:type="dxa"/>
          </w:tcPr>
          <w:p w:rsidR="00D9284D" w:rsidRPr="005F4E26" w:rsidRDefault="00D9284D" w:rsidP="005F4E26">
            <w:pPr>
              <w:rPr>
                <w:rFonts w:cstheme="minorHAnsi"/>
                <w:b/>
              </w:rPr>
            </w:pPr>
          </w:p>
        </w:tc>
        <w:tc>
          <w:tcPr>
            <w:tcW w:w="623" w:type="dxa"/>
          </w:tcPr>
          <w:p w:rsidR="00D9284D" w:rsidRPr="005F4E26" w:rsidRDefault="00D9284D" w:rsidP="005F4E26">
            <w:pPr>
              <w:rPr>
                <w:rFonts w:cstheme="minorHAnsi"/>
                <w:b/>
              </w:rPr>
            </w:pPr>
          </w:p>
        </w:tc>
      </w:tr>
      <w:tr w:rsidR="00D9284D" w:rsidRPr="005F4E26" w:rsidTr="00A44D93">
        <w:tc>
          <w:tcPr>
            <w:tcW w:w="568" w:type="dxa"/>
          </w:tcPr>
          <w:p w:rsidR="00D9284D" w:rsidRPr="005F4E26" w:rsidRDefault="008D3813" w:rsidP="005F4E26">
            <w:pPr>
              <w:rPr>
                <w:rFonts w:cstheme="minorHAnsi"/>
                <w:b/>
                <w:sz w:val="20"/>
                <w:szCs w:val="20"/>
              </w:rPr>
            </w:pPr>
            <w:r w:rsidRPr="005F4E26">
              <w:rPr>
                <w:rFonts w:cstheme="minorHAnsi"/>
                <w:b/>
                <w:sz w:val="20"/>
                <w:szCs w:val="20"/>
              </w:rPr>
              <w:t>2</w:t>
            </w:r>
            <w:r w:rsidR="00B167F1" w:rsidRPr="005F4E26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6891" w:type="dxa"/>
          </w:tcPr>
          <w:p w:rsidR="003A161B" w:rsidRDefault="00B7581E" w:rsidP="005F4E26">
            <w:pPr>
              <w:rPr>
                <w:rFonts w:cstheme="minorHAnsi"/>
              </w:rPr>
            </w:pPr>
            <w:r w:rsidRPr="005F4E26">
              <w:rPr>
                <w:rFonts w:cstheme="minorHAnsi"/>
              </w:rPr>
              <w:t xml:space="preserve">Are bins stable and secured </w:t>
            </w:r>
            <w:r w:rsidR="00D9284D" w:rsidRPr="005F4E26">
              <w:rPr>
                <w:rFonts w:cstheme="minorHAnsi"/>
              </w:rPr>
              <w:t xml:space="preserve">to prevent </w:t>
            </w:r>
            <w:r w:rsidRPr="005F4E26">
              <w:rPr>
                <w:rFonts w:cstheme="minorHAnsi"/>
              </w:rPr>
              <w:t>them from</w:t>
            </w:r>
            <w:r w:rsidR="00D9284D" w:rsidRPr="005F4E26">
              <w:rPr>
                <w:rFonts w:cstheme="minorHAnsi"/>
              </w:rPr>
              <w:t xml:space="preserve"> </w:t>
            </w:r>
            <w:r w:rsidR="00E527F7" w:rsidRPr="005F4E26">
              <w:rPr>
                <w:rFonts w:cstheme="minorHAnsi"/>
              </w:rPr>
              <w:t xml:space="preserve">being </w:t>
            </w:r>
            <w:r w:rsidR="00637A8F" w:rsidRPr="005F4E26">
              <w:rPr>
                <w:rFonts w:cstheme="minorHAnsi"/>
              </w:rPr>
              <w:t>inadvertently knocked</w:t>
            </w:r>
            <w:r w:rsidR="00D9284D" w:rsidRPr="005F4E26">
              <w:rPr>
                <w:rFonts w:cstheme="minorHAnsi"/>
              </w:rPr>
              <w:t xml:space="preserve"> over</w:t>
            </w:r>
            <w:r w:rsidR="00065E21">
              <w:rPr>
                <w:rFonts w:cstheme="minorHAnsi"/>
              </w:rPr>
              <w:t>?</w:t>
            </w:r>
            <w:r w:rsidR="00B81DFB" w:rsidRPr="005F4E26">
              <w:rPr>
                <w:rFonts w:cstheme="minorHAnsi"/>
              </w:rPr>
              <w:t xml:space="preserve"> e.g. Rigid bin holder</w:t>
            </w:r>
          </w:p>
          <w:p w:rsidR="00D9284D" w:rsidRPr="003A161B" w:rsidRDefault="00D9284D" w:rsidP="003A161B">
            <w:pPr>
              <w:rPr>
                <w:rFonts w:cstheme="minorHAnsi"/>
              </w:rPr>
            </w:pPr>
          </w:p>
        </w:tc>
        <w:tc>
          <w:tcPr>
            <w:tcW w:w="635" w:type="dxa"/>
          </w:tcPr>
          <w:p w:rsidR="00D9284D" w:rsidRPr="005F4E26" w:rsidRDefault="00D9284D" w:rsidP="005F4E26">
            <w:pPr>
              <w:rPr>
                <w:rFonts w:cstheme="minorHAnsi"/>
                <w:b/>
              </w:rPr>
            </w:pPr>
          </w:p>
        </w:tc>
        <w:tc>
          <w:tcPr>
            <w:tcW w:w="695" w:type="dxa"/>
          </w:tcPr>
          <w:p w:rsidR="00D9284D" w:rsidRPr="005F4E26" w:rsidRDefault="00D9284D" w:rsidP="005F4E26">
            <w:pPr>
              <w:rPr>
                <w:rFonts w:cstheme="minorHAnsi"/>
                <w:b/>
              </w:rPr>
            </w:pPr>
          </w:p>
        </w:tc>
        <w:tc>
          <w:tcPr>
            <w:tcW w:w="623" w:type="dxa"/>
          </w:tcPr>
          <w:p w:rsidR="00D9284D" w:rsidRPr="005F4E26" w:rsidRDefault="00D9284D" w:rsidP="005F4E26">
            <w:pPr>
              <w:rPr>
                <w:rFonts w:cstheme="minorHAnsi"/>
                <w:b/>
              </w:rPr>
            </w:pPr>
          </w:p>
        </w:tc>
      </w:tr>
    </w:tbl>
    <w:p w:rsidR="00065E21" w:rsidRDefault="00065E21"/>
    <w:tbl>
      <w:tblPr>
        <w:tblStyle w:val="TableGrid"/>
        <w:tblpPr w:leftFromText="180" w:rightFromText="180" w:vertAnchor="text" w:horzAnchor="margin" w:tblpXSpec="center" w:tblpY="53"/>
        <w:tblW w:w="9412" w:type="dxa"/>
        <w:tblLook w:val="04A0" w:firstRow="1" w:lastRow="0" w:firstColumn="1" w:lastColumn="0" w:noHBand="0" w:noVBand="1"/>
      </w:tblPr>
      <w:tblGrid>
        <w:gridCol w:w="568"/>
        <w:gridCol w:w="6891"/>
        <w:gridCol w:w="635"/>
        <w:gridCol w:w="695"/>
        <w:gridCol w:w="623"/>
      </w:tblGrid>
      <w:tr w:rsidR="00D9284D" w:rsidRPr="005F4E26" w:rsidTr="00A44D93">
        <w:tc>
          <w:tcPr>
            <w:tcW w:w="568" w:type="dxa"/>
            <w:shd w:val="clear" w:color="auto" w:fill="F2F2F2" w:themeFill="background1" w:themeFillShade="F2"/>
          </w:tcPr>
          <w:p w:rsidR="00D9284D" w:rsidRPr="005F4E26" w:rsidRDefault="00D9284D" w:rsidP="005F4E2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891" w:type="dxa"/>
            <w:shd w:val="clear" w:color="auto" w:fill="F2F2F2" w:themeFill="background1" w:themeFillShade="F2"/>
          </w:tcPr>
          <w:p w:rsidR="00D9284D" w:rsidRPr="005F4E26" w:rsidRDefault="00D9284D" w:rsidP="005F4E26">
            <w:pPr>
              <w:rPr>
                <w:rFonts w:cstheme="minorHAnsi"/>
                <w:b/>
              </w:rPr>
            </w:pPr>
            <w:r w:rsidRPr="005F4E26">
              <w:rPr>
                <w:rFonts w:cstheme="minorHAnsi"/>
                <w:b/>
              </w:rPr>
              <w:t>Liquid clinical risk wastes</w:t>
            </w:r>
          </w:p>
        </w:tc>
        <w:tc>
          <w:tcPr>
            <w:tcW w:w="635" w:type="dxa"/>
            <w:shd w:val="clear" w:color="auto" w:fill="F2F2F2" w:themeFill="background1" w:themeFillShade="F2"/>
          </w:tcPr>
          <w:p w:rsidR="00D9284D" w:rsidRPr="005F4E26" w:rsidRDefault="00D9284D" w:rsidP="005F4E26">
            <w:pPr>
              <w:rPr>
                <w:rFonts w:cstheme="minorHAnsi"/>
                <w:b/>
              </w:rPr>
            </w:pPr>
          </w:p>
        </w:tc>
        <w:tc>
          <w:tcPr>
            <w:tcW w:w="695" w:type="dxa"/>
            <w:shd w:val="clear" w:color="auto" w:fill="F2F2F2" w:themeFill="background1" w:themeFillShade="F2"/>
          </w:tcPr>
          <w:p w:rsidR="00D9284D" w:rsidRPr="005F4E26" w:rsidRDefault="00D9284D" w:rsidP="005F4E26">
            <w:pPr>
              <w:rPr>
                <w:rFonts w:cstheme="minorHAnsi"/>
                <w:b/>
              </w:rPr>
            </w:pPr>
          </w:p>
        </w:tc>
        <w:tc>
          <w:tcPr>
            <w:tcW w:w="623" w:type="dxa"/>
            <w:shd w:val="clear" w:color="auto" w:fill="F2F2F2" w:themeFill="background1" w:themeFillShade="F2"/>
          </w:tcPr>
          <w:p w:rsidR="00D9284D" w:rsidRPr="005F4E26" w:rsidRDefault="00D9284D" w:rsidP="005F4E26">
            <w:pPr>
              <w:rPr>
                <w:rFonts w:cstheme="minorHAnsi"/>
                <w:b/>
              </w:rPr>
            </w:pPr>
          </w:p>
        </w:tc>
      </w:tr>
      <w:tr w:rsidR="00D9284D" w:rsidRPr="005F4E26" w:rsidTr="00A44D93">
        <w:tc>
          <w:tcPr>
            <w:tcW w:w="568" w:type="dxa"/>
          </w:tcPr>
          <w:p w:rsidR="00D9284D" w:rsidRPr="005F4E26" w:rsidRDefault="008D3813" w:rsidP="005F4E26">
            <w:pPr>
              <w:rPr>
                <w:rFonts w:cstheme="minorHAnsi"/>
                <w:b/>
                <w:sz w:val="20"/>
                <w:szCs w:val="20"/>
              </w:rPr>
            </w:pPr>
            <w:r w:rsidRPr="005F4E26">
              <w:rPr>
                <w:rFonts w:cstheme="minorHAnsi"/>
                <w:b/>
                <w:sz w:val="20"/>
                <w:szCs w:val="20"/>
              </w:rPr>
              <w:t>2</w:t>
            </w:r>
            <w:r w:rsidR="00B167F1" w:rsidRPr="005F4E26"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6891" w:type="dxa"/>
          </w:tcPr>
          <w:p w:rsidR="00D9284D" w:rsidRPr="005F4E26" w:rsidRDefault="00241EF1" w:rsidP="005F4E26">
            <w:pPr>
              <w:rPr>
                <w:rFonts w:cstheme="minorHAnsi"/>
              </w:rPr>
            </w:pPr>
            <w:proofErr w:type="gramStart"/>
            <w:r w:rsidRPr="005F4E26">
              <w:rPr>
                <w:rFonts w:cstheme="minorHAnsi"/>
              </w:rPr>
              <w:t>Are staff</w:t>
            </w:r>
            <w:proofErr w:type="gramEnd"/>
            <w:r w:rsidRPr="005F4E26">
              <w:rPr>
                <w:rFonts w:cstheme="minorHAnsi"/>
              </w:rPr>
              <w:t xml:space="preserve"> aware that liquid clinical waste</w:t>
            </w:r>
            <w:r w:rsidR="00D9284D" w:rsidRPr="005F4E26">
              <w:rPr>
                <w:rFonts w:cstheme="minorHAnsi"/>
              </w:rPr>
              <w:t xml:space="preserve"> </w:t>
            </w:r>
            <w:r w:rsidR="00B84A17" w:rsidRPr="005F4E26">
              <w:rPr>
                <w:rFonts w:cstheme="minorHAnsi"/>
              </w:rPr>
              <w:t>is</w:t>
            </w:r>
            <w:r w:rsidR="00D9284D" w:rsidRPr="005F4E26">
              <w:rPr>
                <w:rFonts w:cstheme="minorHAnsi"/>
              </w:rPr>
              <w:t xml:space="preserve"> </w:t>
            </w:r>
            <w:r w:rsidRPr="005F4E26">
              <w:rPr>
                <w:rFonts w:cstheme="minorHAnsi"/>
              </w:rPr>
              <w:t xml:space="preserve">not to be </w:t>
            </w:r>
            <w:r w:rsidR="00D9284D" w:rsidRPr="005F4E26">
              <w:rPr>
                <w:rFonts w:cstheme="minorHAnsi"/>
              </w:rPr>
              <w:t xml:space="preserve">disposed of </w:t>
            </w:r>
            <w:r w:rsidRPr="005F4E26">
              <w:rPr>
                <w:rFonts w:cstheme="minorHAnsi"/>
              </w:rPr>
              <w:t>in the clinical risk waste bins?</w:t>
            </w:r>
          </w:p>
        </w:tc>
        <w:tc>
          <w:tcPr>
            <w:tcW w:w="635" w:type="dxa"/>
          </w:tcPr>
          <w:p w:rsidR="00D9284D" w:rsidRPr="005F4E26" w:rsidRDefault="00D9284D" w:rsidP="005F4E26">
            <w:pPr>
              <w:rPr>
                <w:rFonts w:cstheme="minorHAnsi"/>
                <w:b/>
              </w:rPr>
            </w:pPr>
          </w:p>
        </w:tc>
        <w:tc>
          <w:tcPr>
            <w:tcW w:w="695" w:type="dxa"/>
          </w:tcPr>
          <w:p w:rsidR="00D9284D" w:rsidRPr="005F4E26" w:rsidRDefault="00D9284D" w:rsidP="005F4E26">
            <w:pPr>
              <w:rPr>
                <w:rFonts w:cstheme="minorHAnsi"/>
                <w:b/>
              </w:rPr>
            </w:pPr>
          </w:p>
        </w:tc>
        <w:tc>
          <w:tcPr>
            <w:tcW w:w="623" w:type="dxa"/>
          </w:tcPr>
          <w:p w:rsidR="00D9284D" w:rsidRPr="005F4E26" w:rsidRDefault="00D9284D" w:rsidP="005F4E26">
            <w:pPr>
              <w:rPr>
                <w:rFonts w:cstheme="minorHAnsi"/>
                <w:b/>
              </w:rPr>
            </w:pPr>
          </w:p>
        </w:tc>
      </w:tr>
      <w:tr w:rsidR="00065E21" w:rsidRPr="005F4E26" w:rsidTr="00065E21">
        <w:tc>
          <w:tcPr>
            <w:tcW w:w="568" w:type="dxa"/>
            <w:shd w:val="clear" w:color="auto" w:fill="F2F2F2" w:themeFill="background1" w:themeFillShade="F2"/>
          </w:tcPr>
          <w:p w:rsidR="00065E21" w:rsidRPr="005F4E26" w:rsidRDefault="00065E21" w:rsidP="00065E2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891" w:type="dxa"/>
            <w:shd w:val="clear" w:color="auto" w:fill="F2F2F2" w:themeFill="background1" w:themeFillShade="F2"/>
          </w:tcPr>
          <w:p w:rsidR="00065E21" w:rsidRPr="005F4E26" w:rsidRDefault="00065E21" w:rsidP="00065E21">
            <w:pPr>
              <w:rPr>
                <w:rFonts w:cstheme="minorHAnsi"/>
                <w:b/>
              </w:rPr>
            </w:pPr>
            <w:r w:rsidRPr="005F4E26">
              <w:rPr>
                <w:rFonts w:cstheme="minorHAnsi"/>
                <w:b/>
              </w:rPr>
              <w:t xml:space="preserve">Incident Reporting </w:t>
            </w:r>
          </w:p>
        </w:tc>
        <w:tc>
          <w:tcPr>
            <w:tcW w:w="635" w:type="dxa"/>
            <w:shd w:val="clear" w:color="auto" w:fill="F2F2F2" w:themeFill="background1" w:themeFillShade="F2"/>
          </w:tcPr>
          <w:p w:rsidR="00065E21" w:rsidRPr="005F4E26" w:rsidRDefault="00065E21" w:rsidP="00065E21">
            <w:pPr>
              <w:rPr>
                <w:rFonts w:cstheme="minorHAnsi"/>
                <w:b/>
              </w:rPr>
            </w:pPr>
          </w:p>
        </w:tc>
        <w:tc>
          <w:tcPr>
            <w:tcW w:w="695" w:type="dxa"/>
            <w:shd w:val="clear" w:color="auto" w:fill="F2F2F2" w:themeFill="background1" w:themeFillShade="F2"/>
          </w:tcPr>
          <w:p w:rsidR="00065E21" w:rsidRPr="005F4E26" w:rsidRDefault="00065E21" w:rsidP="00065E21">
            <w:pPr>
              <w:rPr>
                <w:rFonts w:cstheme="minorHAnsi"/>
                <w:b/>
              </w:rPr>
            </w:pPr>
          </w:p>
        </w:tc>
        <w:tc>
          <w:tcPr>
            <w:tcW w:w="623" w:type="dxa"/>
            <w:shd w:val="clear" w:color="auto" w:fill="F2F2F2" w:themeFill="background1" w:themeFillShade="F2"/>
          </w:tcPr>
          <w:p w:rsidR="00065E21" w:rsidRPr="005F4E26" w:rsidRDefault="00065E21" w:rsidP="00065E21">
            <w:pPr>
              <w:rPr>
                <w:rFonts w:cstheme="minorHAnsi"/>
                <w:b/>
              </w:rPr>
            </w:pPr>
          </w:p>
        </w:tc>
      </w:tr>
      <w:tr w:rsidR="00065E21" w:rsidRPr="005F4E26" w:rsidTr="00A44D93">
        <w:tc>
          <w:tcPr>
            <w:tcW w:w="568" w:type="dxa"/>
          </w:tcPr>
          <w:p w:rsidR="00065E21" w:rsidRPr="005F4E26" w:rsidRDefault="00065E21" w:rsidP="00065E2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25</w:t>
            </w:r>
          </w:p>
        </w:tc>
        <w:tc>
          <w:tcPr>
            <w:tcW w:w="6891" w:type="dxa"/>
          </w:tcPr>
          <w:p w:rsidR="00065E21" w:rsidRPr="005F4E26" w:rsidRDefault="00065E21" w:rsidP="00065E21">
            <w:pPr>
              <w:rPr>
                <w:rFonts w:cstheme="minorHAnsi"/>
              </w:rPr>
            </w:pPr>
            <w:r w:rsidRPr="005F4E26">
              <w:rPr>
                <w:rFonts w:cstheme="minorHAnsi"/>
              </w:rPr>
              <w:t>Are all incidents where clinical risk waste is incorrectly presented for internal collection, reported in line with the local incident reporting procedures?</w:t>
            </w:r>
          </w:p>
        </w:tc>
        <w:tc>
          <w:tcPr>
            <w:tcW w:w="635" w:type="dxa"/>
          </w:tcPr>
          <w:p w:rsidR="00065E21" w:rsidRPr="005F4E26" w:rsidRDefault="00065E21" w:rsidP="00065E21">
            <w:pPr>
              <w:rPr>
                <w:rFonts w:cstheme="minorHAnsi"/>
                <w:b/>
              </w:rPr>
            </w:pPr>
          </w:p>
        </w:tc>
        <w:tc>
          <w:tcPr>
            <w:tcW w:w="695" w:type="dxa"/>
          </w:tcPr>
          <w:p w:rsidR="00065E21" w:rsidRPr="005F4E26" w:rsidRDefault="00065E21" w:rsidP="00065E21">
            <w:pPr>
              <w:rPr>
                <w:rFonts w:cstheme="minorHAnsi"/>
                <w:b/>
              </w:rPr>
            </w:pPr>
          </w:p>
        </w:tc>
        <w:tc>
          <w:tcPr>
            <w:tcW w:w="623" w:type="dxa"/>
          </w:tcPr>
          <w:p w:rsidR="00065E21" w:rsidRPr="005F4E26" w:rsidRDefault="00065E21" w:rsidP="00065E21">
            <w:pPr>
              <w:rPr>
                <w:rFonts w:cstheme="minorHAnsi"/>
                <w:b/>
              </w:rPr>
            </w:pPr>
          </w:p>
        </w:tc>
      </w:tr>
      <w:tr w:rsidR="00065E21" w:rsidRPr="005F4E26" w:rsidTr="00A44D93">
        <w:tc>
          <w:tcPr>
            <w:tcW w:w="568" w:type="dxa"/>
          </w:tcPr>
          <w:p w:rsidR="00065E21" w:rsidRPr="005F4E26" w:rsidRDefault="00065E21" w:rsidP="00065E2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26</w:t>
            </w:r>
          </w:p>
        </w:tc>
        <w:tc>
          <w:tcPr>
            <w:tcW w:w="6891" w:type="dxa"/>
          </w:tcPr>
          <w:p w:rsidR="00065E21" w:rsidRPr="005F4E26" w:rsidRDefault="00065E21" w:rsidP="00065E21">
            <w:pPr>
              <w:rPr>
                <w:rFonts w:cstheme="minorHAnsi"/>
                <w:lang w:eastAsia="en-US"/>
              </w:rPr>
            </w:pPr>
            <w:r w:rsidRPr="005F4E26">
              <w:rPr>
                <w:rFonts w:cstheme="minorHAnsi"/>
              </w:rPr>
              <w:t>Are all incidents/accidents/near misses recorded and investigated and remedial measures implemented?</w:t>
            </w:r>
          </w:p>
        </w:tc>
        <w:tc>
          <w:tcPr>
            <w:tcW w:w="635" w:type="dxa"/>
          </w:tcPr>
          <w:p w:rsidR="00065E21" w:rsidRPr="005F4E26" w:rsidRDefault="00065E21" w:rsidP="00065E21">
            <w:pPr>
              <w:rPr>
                <w:rFonts w:cstheme="minorHAnsi"/>
                <w:b/>
              </w:rPr>
            </w:pPr>
          </w:p>
        </w:tc>
        <w:tc>
          <w:tcPr>
            <w:tcW w:w="695" w:type="dxa"/>
          </w:tcPr>
          <w:p w:rsidR="00065E21" w:rsidRPr="005F4E26" w:rsidRDefault="00065E21" w:rsidP="00065E21">
            <w:pPr>
              <w:rPr>
                <w:rFonts w:cstheme="minorHAnsi"/>
                <w:b/>
              </w:rPr>
            </w:pPr>
          </w:p>
        </w:tc>
        <w:tc>
          <w:tcPr>
            <w:tcW w:w="623" w:type="dxa"/>
          </w:tcPr>
          <w:p w:rsidR="00065E21" w:rsidRPr="005F4E26" w:rsidRDefault="00065E21" w:rsidP="00065E21">
            <w:pPr>
              <w:rPr>
                <w:rFonts w:cstheme="minorHAnsi"/>
                <w:b/>
              </w:rPr>
            </w:pPr>
          </w:p>
        </w:tc>
      </w:tr>
      <w:tr w:rsidR="00065E21" w:rsidRPr="005F4E26" w:rsidTr="00065E21">
        <w:tc>
          <w:tcPr>
            <w:tcW w:w="568" w:type="dxa"/>
            <w:shd w:val="clear" w:color="auto" w:fill="F2F2F2" w:themeFill="background1" w:themeFillShade="F2"/>
          </w:tcPr>
          <w:p w:rsidR="00065E21" w:rsidRPr="005F4E26" w:rsidRDefault="00065E21" w:rsidP="00065E2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891" w:type="dxa"/>
            <w:shd w:val="clear" w:color="auto" w:fill="F2F2F2" w:themeFill="background1" w:themeFillShade="F2"/>
          </w:tcPr>
          <w:p w:rsidR="00065E21" w:rsidRPr="005F4E26" w:rsidRDefault="00065E21" w:rsidP="00065E21">
            <w:pPr>
              <w:rPr>
                <w:rFonts w:cstheme="minorHAnsi"/>
                <w:b/>
              </w:rPr>
            </w:pPr>
            <w:r w:rsidRPr="005F4E26">
              <w:rPr>
                <w:rFonts w:cstheme="minorHAnsi"/>
                <w:b/>
              </w:rPr>
              <w:t>Risk Assessments</w:t>
            </w:r>
          </w:p>
        </w:tc>
        <w:tc>
          <w:tcPr>
            <w:tcW w:w="635" w:type="dxa"/>
            <w:shd w:val="clear" w:color="auto" w:fill="F2F2F2" w:themeFill="background1" w:themeFillShade="F2"/>
          </w:tcPr>
          <w:p w:rsidR="00065E21" w:rsidRPr="005F4E26" w:rsidRDefault="00065E21" w:rsidP="00065E21">
            <w:pPr>
              <w:rPr>
                <w:rFonts w:cstheme="minorHAnsi"/>
                <w:b/>
              </w:rPr>
            </w:pPr>
          </w:p>
        </w:tc>
        <w:tc>
          <w:tcPr>
            <w:tcW w:w="695" w:type="dxa"/>
            <w:shd w:val="clear" w:color="auto" w:fill="F2F2F2" w:themeFill="background1" w:themeFillShade="F2"/>
          </w:tcPr>
          <w:p w:rsidR="00065E21" w:rsidRPr="005F4E26" w:rsidRDefault="00065E21" w:rsidP="00065E21">
            <w:pPr>
              <w:rPr>
                <w:rFonts w:cstheme="minorHAnsi"/>
                <w:b/>
              </w:rPr>
            </w:pPr>
          </w:p>
        </w:tc>
        <w:tc>
          <w:tcPr>
            <w:tcW w:w="623" w:type="dxa"/>
            <w:shd w:val="clear" w:color="auto" w:fill="F2F2F2" w:themeFill="background1" w:themeFillShade="F2"/>
          </w:tcPr>
          <w:p w:rsidR="00065E21" w:rsidRPr="005F4E26" w:rsidRDefault="00065E21" w:rsidP="00065E21">
            <w:pPr>
              <w:rPr>
                <w:rFonts w:cstheme="minorHAnsi"/>
                <w:b/>
              </w:rPr>
            </w:pPr>
          </w:p>
        </w:tc>
      </w:tr>
      <w:tr w:rsidR="00065E21" w:rsidRPr="005F4E26" w:rsidTr="00A44D93">
        <w:tc>
          <w:tcPr>
            <w:tcW w:w="568" w:type="dxa"/>
          </w:tcPr>
          <w:p w:rsidR="00065E21" w:rsidRDefault="00065E21" w:rsidP="00065E2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27</w:t>
            </w:r>
          </w:p>
        </w:tc>
        <w:tc>
          <w:tcPr>
            <w:tcW w:w="6891" w:type="dxa"/>
          </w:tcPr>
          <w:p w:rsidR="00065E21" w:rsidRPr="005F4E26" w:rsidRDefault="00065E21" w:rsidP="00065E21">
            <w:pPr>
              <w:rPr>
                <w:rFonts w:cstheme="minorHAnsi"/>
                <w:lang w:eastAsia="en-US"/>
              </w:rPr>
            </w:pPr>
            <w:r w:rsidRPr="005F4E26">
              <w:rPr>
                <w:rFonts w:cstheme="minorHAnsi"/>
              </w:rPr>
              <w:t xml:space="preserve">Are the results of the risk assessment communicated to all relevant employees and all who come in contact with HSE services and activities? </w:t>
            </w:r>
          </w:p>
        </w:tc>
        <w:tc>
          <w:tcPr>
            <w:tcW w:w="635" w:type="dxa"/>
          </w:tcPr>
          <w:p w:rsidR="00065E21" w:rsidRPr="005F4E26" w:rsidRDefault="00065E21" w:rsidP="00065E21">
            <w:pPr>
              <w:rPr>
                <w:rFonts w:cstheme="minorHAnsi"/>
                <w:b/>
              </w:rPr>
            </w:pPr>
          </w:p>
        </w:tc>
        <w:tc>
          <w:tcPr>
            <w:tcW w:w="695" w:type="dxa"/>
          </w:tcPr>
          <w:p w:rsidR="00065E21" w:rsidRPr="005F4E26" w:rsidRDefault="00065E21" w:rsidP="00065E21">
            <w:pPr>
              <w:rPr>
                <w:rFonts w:cstheme="minorHAnsi"/>
                <w:b/>
              </w:rPr>
            </w:pPr>
          </w:p>
        </w:tc>
        <w:tc>
          <w:tcPr>
            <w:tcW w:w="623" w:type="dxa"/>
          </w:tcPr>
          <w:p w:rsidR="00065E21" w:rsidRPr="005F4E26" w:rsidRDefault="00065E21" w:rsidP="00065E21">
            <w:pPr>
              <w:rPr>
                <w:rFonts w:cstheme="minorHAnsi"/>
                <w:b/>
              </w:rPr>
            </w:pPr>
          </w:p>
        </w:tc>
      </w:tr>
      <w:tr w:rsidR="00065E21" w:rsidRPr="005F4E26" w:rsidTr="00A44D93">
        <w:tc>
          <w:tcPr>
            <w:tcW w:w="568" w:type="dxa"/>
          </w:tcPr>
          <w:p w:rsidR="00065E21" w:rsidRDefault="00065E21" w:rsidP="00065E2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28</w:t>
            </w:r>
          </w:p>
        </w:tc>
        <w:tc>
          <w:tcPr>
            <w:tcW w:w="6891" w:type="dxa"/>
          </w:tcPr>
          <w:p w:rsidR="00065E21" w:rsidRPr="005F4E26" w:rsidRDefault="00065E21" w:rsidP="00065E21">
            <w:pPr>
              <w:rPr>
                <w:rFonts w:cstheme="minorHAnsi"/>
              </w:rPr>
            </w:pPr>
            <w:r w:rsidRPr="005F4E26">
              <w:rPr>
                <w:rFonts w:cstheme="minorHAnsi"/>
              </w:rPr>
              <w:t>Are risk assessments reviewed at least annually or more frequently if necessary i.e. accident/incident or a change in circumstances to which they relate?</w:t>
            </w:r>
          </w:p>
        </w:tc>
        <w:tc>
          <w:tcPr>
            <w:tcW w:w="635" w:type="dxa"/>
          </w:tcPr>
          <w:p w:rsidR="00065E21" w:rsidRPr="005F4E26" w:rsidRDefault="00065E21" w:rsidP="00065E21">
            <w:pPr>
              <w:rPr>
                <w:rFonts w:cstheme="minorHAnsi"/>
                <w:b/>
              </w:rPr>
            </w:pPr>
          </w:p>
        </w:tc>
        <w:tc>
          <w:tcPr>
            <w:tcW w:w="695" w:type="dxa"/>
          </w:tcPr>
          <w:p w:rsidR="00065E21" w:rsidRPr="005F4E26" w:rsidRDefault="00065E21" w:rsidP="00065E21">
            <w:pPr>
              <w:rPr>
                <w:rFonts w:cstheme="minorHAnsi"/>
                <w:b/>
              </w:rPr>
            </w:pPr>
          </w:p>
        </w:tc>
        <w:tc>
          <w:tcPr>
            <w:tcW w:w="623" w:type="dxa"/>
          </w:tcPr>
          <w:p w:rsidR="00065E21" w:rsidRPr="005F4E26" w:rsidRDefault="00065E21" w:rsidP="00065E21">
            <w:pPr>
              <w:rPr>
                <w:rFonts w:cstheme="minorHAnsi"/>
                <w:b/>
              </w:rPr>
            </w:pPr>
          </w:p>
        </w:tc>
      </w:tr>
    </w:tbl>
    <w:p w:rsidR="00D31DAB" w:rsidRPr="005F4E26" w:rsidRDefault="00D31DAB" w:rsidP="005F4E26">
      <w:pPr>
        <w:spacing w:line="240" w:lineRule="auto"/>
        <w:rPr>
          <w:rFonts w:cstheme="minorHAnsi"/>
        </w:rPr>
      </w:pPr>
    </w:p>
    <w:p w:rsidR="0073479F" w:rsidRPr="00CC496A" w:rsidRDefault="0073479F" w:rsidP="00E2439B">
      <w:pPr>
        <w:rPr>
          <w:szCs w:val="24"/>
        </w:rPr>
      </w:pPr>
    </w:p>
    <w:sectPr w:rsidR="0073479F" w:rsidRPr="00CC496A" w:rsidSect="005F4E26">
      <w:headerReference w:type="default" r:id="rId14"/>
      <w:footerReference w:type="default" r:id="rId15"/>
      <w:pgSz w:w="11906" w:h="16838"/>
      <w:pgMar w:top="1440" w:right="1440" w:bottom="1440" w:left="144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3D8" w:rsidRDefault="008933D8" w:rsidP="00212856">
      <w:pPr>
        <w:spacing w:after="0" w:line="240" w:lineRule="auto"/>
      </w:pPr>
      <w:r>
        <w:separator/>
      </w:r>
    </w:p>
  </w:endnote>
  <w:endnote w:type="continuationSeparator" w:id="0">
    <w:p w:rsidR="008933D8" w:rsidRDefault="008933D8" w:rsidP="00212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BC1" w:rsidRPr="00BF7687" w:rsidRDefault="00BF7687">
    <w:pPr>
      <w:pStyle w:val="Footer"/>
      <w:pBdr>
        <w:top w:val="thinThickSmallGap" w:sz="24" w:space="1" w:color="622423" w:themeColor="accent2" w:themeShade="7F"/>
      </w:pBdr>
      <w:rPr>
        <w:sz w:val="18"/>
        <w:szCs w:val="18"/>
      </w:rPr>
    </w:pPr>
    <w:r>
      <w:rPr>
        <w:sz w:val="18"/>
        <w:szCs w:val="18"/>
      </w:rPr>
      <w:t xml:space="preserve">20 06 30 </w:t>
    </w:r>
    <w:r w:rsidR="00A9276A" w:rsidRPr="00BF7687">
      <w:rPr>
        <w:sz w:val="18"/>
        <w:szCs w:val="18"/>
      </w:rPr>
      <w:t xml:space="preserve">PS: 033:01 </w:t>
    </w:r>
    <w:r w:rsidR="00A42BC1" w:rsidRPr="00BF7687">
      <w:rPr>
        <w:sz w:val="18"/>
        <w:szCs w:val="18"/>
      </w:rPr>
      <w:t xml:space="preserve">Clinical Risk Waste </w:t>
    </w:r>
    <w:r>
      <w:rPr>
        <w:sz w:val="18"/>
        <w:szCs w:val="18"/>
      </w:rPr>
      <w:t xml:space="preserve">on the Ward/Department </w:t>
    </w:r>
    <w:r>
      <w:rPr>
        <w:sz w:val="18"/>
        <w:szCs w:val="18"/>
      </w:rPr>
      <w:tab/>
    </w:r>
    <w:r w:rsidR="00A42BC1" w:rsidRPr="00BF7687">
      <w:rPr>
        <w:sz w:val="18"/>
        <w:szCs w:val="18"/>
      </w:rPr>
      <w:t xml:space="preserve">Page </w:t>
    </w:r>
    <w:r w:rsidR="00A41955" w:rsidRPr="00BF7687">
      <w:rPr>
        <w:sz w:val="18"/>
        <w:szCs w:val="18"/>
      </w:rPr>
      <w:fldChar w:fldCharType="begin"/>
    </w:r>
    <w:r w:rsidR="00A42BC1" w:rsidRPr="00BF7687">
      <w:rPr>
        <w:sz w:val="18"/>
        <w:szCs w:val="18"/>
      </w:rPr>
      <w:instrText xml:space="preserve"> PAGE   \* MERGEFORMAT </w:instrText>
    </w:r>
    <w:r w:rsidR="00A41955" w:rsidRPr="00BF7687">
      <w:rPr>
        <w:sz w:val="18"/>
        <w:szCs w:val="18"/>
      </w:rPr>
      <w:fldChar w:fldCharType="separate"/>
    </w:r>
    <w:r w:rsidR="00212BFA">
      <w:rPr>
        <w:noProof/>
        <w:sz w:val="18"/>
        <w:szCs w:val="18"/>
      </w:rPr>
      <w:t>1</w:t>
    </w:r>
    <w:r w:rsidR="00A41955" w:rsidRPr="00BF7687">
      <w:rPr>
        <w:noProof/>
        <w:sz w:val="18"/>
        <w:szCs w:val="18"/>
      </w:rPr>
      <w:fldChar w:fldCharType="end"/>
    </w:r>
  </w:p>
  <w:p w:rsidR="00A42BC1" w:rsidRDefault="00A42BC1" w:rsidP="00173A90">
    <w:pPr>
      <w:pStyle w:val="Footer"/>
      <w:tabs>
        <w:tab w:val="clear" w:pos="4513"/>
        <w:tab w:val="clear" w:pos="9026"/>
        <w:tab w:val="left" w:pos="588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3D8" w:rsidRDefault="008933D8" w:rsidP="00212856">
      <w:pPr>
        <w:spacing w:after="0" w:line="240" w:lineRule="auto"/>
      </w:pPr>
      <w:r>
        <w:separator/>
      </w:r>
    </w:p>
  </w:footnote>
  <w:footnote w:type="continuationSeparator" w:id="0">
    <w:p w:rsidR="008933D8" w:rsidRDefault="008933D8" w:rsidP="002128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E26" w:rsidRPr="005F4E26" w:rsidRDefault="005F4E26" w:rsidP="005F4E26">
    <w:pPr>
      <w:jc w:val="center"/>
      <w:rPr>
        <w:rFonts w:ascii="Calibri" w:hAnsi="Calibri" w:cs="Calibri"/>
        <w:b/>
        <w:bCs/>
        <w:i/>
        <w:color w:val="C0504D"/>
        <w:sz w:val="18"/>
        <w:szCs w:val="20"/>
      </w:rPr>
    </w:pPr>
    <w:r w:rsidRPr="003E781E">
      <w:rPr>
        <w:rFonts w:ascii="Calibri" w:hAnsi="Calibri" w:cs="Calibri"/>
        <w:b/>
        <w:noProof/>
        <w:color w:val="984806"/>
        <w:sz w:val="18"/>
        <w:szCs w:val="20"/>
      </w:rPr>
      <w:drawing>
        <wp:inline distT="0" distB="0" distL="0" distR="0" wp14:anchorId="19D92C26" wp14:editId="3B7F68D9">
          <wp:extent cx="619760" cy="66548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760" cy="665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3E781E">
      <w:rPr>
        <w:rFonts w:ascii="Calibri" w:hAnsi="Calibri" w:cs="Calibri"/>
        <w:b/>
        <w:color w:val="984806"/>
        <w:sz w:val="18"/>
        <w:szCs w:val="20"/>
      </w:rPr>
      <w:t xml:space="preserve">  National Health and Safety Function, Workplace Health and Wellbeing Unit, </w:t>
    </w:r>
    <w:r w:rsidRPr="003E781E">
      <w:rPr>
        <w:rFonts w:ascii="Calibri" w:hAnsi="Calibri" w:cs="Calibri"/>
        <w:b/>
        <w:sz w:val="18"/>
        <w:szCs w:val="20"/>
      </w:rPr>
      <w:t>National HR Division</w:t>
    </w:r>
    <w:r w:rsidRPr="003E781E">
      <w:rPr>
        <w:rFonts w:ascii="Calibri" w:hAnsi="Calibri" w:cs="Calibri"/>
        <w:b/>
        <w:color w:val="984806"/>
        <w:sz w:val="18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47A23"/>
    <w:multiLevelType w:val="hybridMultilevel"/>
    <w:tmpl w:val="E9282B8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AD41B7"/>
    <w:multiLevelType w:val="multilevel"/>
    <w:tmpl w:val="94C6D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12856"/>
    <w:rsid w:val="000250EF"/>
    <w:rsid w:val="000253E1"/>
    <w:rsid w:val="0004275A"/>
    <w:rsid w:val="00045A48"/>
    <w:rsid w:val="00054DF6"/>
    <w:rsid w:val="00065E21"/>
    <w:rsid w:val="00077EA0"/>
    <w:rsid w:val="00094577"/>
    <w:rsid w:val="000B1470"/>
    <w:rsid w:val="000B2844"/>
    <w:rsid w:val="000B32B3"/>
    <w:rsid w:val="000E4822"/>
    <w:rsid w:val="001000F4"/>
    <w:rsid w:val="00122D77"/>
    <w:rsid w:val="00154853"/>
    <w:rsid w:val="001548CF"/>
    <w:rsid w:val="00163ED6"/>
    <w:rsid w:val="00173A90"/>
    <w:rsid w:val="001800FA"/>
    <w:rsid w:val="00180244"/>
    <w:rsid w:val="001D10C8"/>
    <w:rsid w:val="001D5AC3"/>
    <w:rsid w:val="001E2347"/>
    <w:rsid w:val="00212856"/>
    <w:rsid w:val="00212BFA"/>
    <w:rsid w:val="00225AA5"/>
    <w:rsid w:val="00241EF1"/>
    <w:rsid w:val="00245478"/>
    <w:rsid w:val="00264E39"/>
    <w:rsid w:val="00266688"/>
    <w:rsid w:val="00295BA6"/>
    <w:rsid w:val="002B229A"/>
    <w:rsid w:val="002D08AE"/>
    <w:rsid w:val="003365DA"/>
    <w:rsid w:val="0034245B"/>
    <w:rsid w:val="0036309D"/>
    <w:rsid w:val="003927C5"/>
    <w:rsid w:val="003A161B"/>
    <w:rsid w:val="003C16A2"/>
    <w:rsid w:val="003C3204"/>
    <w:rsid w:val="003D1141"/>
    <w:rsid w:val="003E49DF"/>
    <w:rsid w:val="00405E77"/>
    <w:rsid w:val="00421AB2"/>
    <w:rsid w:val="004262C3"/>
    <w:rsid w:val="00444D4E"/>
    <w:rsid w:val="0045753B"/>
    <w:rsid w:val="00475A8B"/>
    <w:rsid w:val="004A1BCB"/>
    <w:rsid w:val="004C5706"/>
    <w:rsid w:val="00504774"/>
    <w:rsid w:val="005219F3"/>
    <w:rsid w:val="005321C0"/>
    <w:rsid w:val="00543CE6"/>
    <w:rsid w:val="00575464"/>
    <w:rsid w:val="005A1973"/>
    <w:rsid w:val="005B04E7"/>
    <w:rsid w:val="005B5916"/>
    <w:rsid w:val="005C44F1"/>
    <w:rsid w:val="005D05EE"/>
    <w:rsid w:val="005F29E6"/>
    <w:rsid w:val="005F4E26"/>
    <w:rsid w:val="00617B55"/>
    <w:rsid w:val="00637A8F"/>
    <w:rsid w:val="0065034E"/>
    <w:rsid w:val="00670547"/>
    <w:rsid w:val="006753C0"/>
    <w:rsid w:val="00681F4F"/>
    <w:rsid w:val="00683DB9"/>
    <w:rsid w:val="00692674"/>
    <w:rsid w:val="006B154B"/>
    <w:rsid w:val="006B19AA"/>
    <w:rsid w:val="007249C6"/>
    <w:rsid w:val="0073479F"/>
    <w:rsid w:val="00765C02"/>
    <w:rsid w:val="00785DBF"/>
    <w:rsid w:val="007911E1"/>
    <w:rsid w:val="007A13B0"/>
    <w:rsid w:val="007A1711"/>
    <w:rsid w:val="007A660A"/>
    <w:rsid w:val="00827583"/>
    <w:rsid w:val="008370ED"/>
    <w:rsid w:val="008442CE"/>
    <w:rsid w:val="008470C1"/>
    <w:rsid w:val="008660A8"/>
    <w:rsid w:val="0086649D"/>
    <w:rsid w:val="008933D8"/>
    <w:rsid w:val="008A166B"/>
    <w:rsid w:val="008C21F8"/>
    <w:rsid w:val="008D3813"/>
    <w:rsid w:val="008E46E9"/>
    <w:rsid w:val="008F02A8"/>
    <w:rsid w:val="008F432B"/>
    <w:rsid w:val="00901398"/>
    <w:rsid w:val="0090546B"/>
    <w:rsid w:val="0090573A"/>
    <w:rsid w:val="00907C82"/>
    <w:rsid w:val="00955996"/>
    <w:rsid w:val="00964E82"/>
    <w:rsid w:val="009814F0"/>
    <w:rsid w:val="009843D1"/>
    <w:rsid w:val="00987F69"/>
    <w:rsid w:val="00996E12"/>
    <w:rsid w:val="009A353C"/>
    <w:rsid w:val="009A3DE4"/>
    <w:rsid w:val="009B007E"/>
    <w:rsid w:val="009D2CFC"/>
    <w:rsid w:val="009E479A"/>
    <w:rsid w:val="009F24BA"/>
    <w:rsid w:val="00A05F33"/>
    <w:rsid w:val="00A072A6"/>
    <w:rsid w:val="00A15F71"/>
    <w:rsid w:val="00A36EF2"/>
    <w:rsid w:val="00A41955"/>
    <w:rsid w:val="00A42BC1"/>
    <w:rsid w:val="00A44D93"/>
    <w:rsid w:val="00A63A0B"/>
    <w:rsid w:val="00A9276A"/>
    <w:rsid w:val="00AB3DAB"/>
    <w:rsid w:val="00AD0EE3"/>
    <w:rsid w:val="00B15BAA"/>
    <w:rsid w:val="00B167F1"/>
    <w:rsid w:val="00B7581E"/>
    <w:rsid w:val="00B77C3A"/>
    <w:rsid w:val="00B81DFB"/>
    <w:rsid w:val="00B84A17"/>
    <w:rsid w:val="00B94EA0"/>
    <w:rsid w:val="00BC62B6"/>
    <w:rsid w:val="00BD54A1"/>
    <w:rsid w:val="00BE3018"/>
    <w:rsid w:val="00BF3F1C"/>
    <w:rsid w:val="00BF493B"/>
    <w:rsid w:val="00BF7687"/>
    <w:rsid w:val="00C22589"/>
    <w:rsid w:val="00C455C4"/>
    <w:rsid w:val="00C54799"/>
    <w:rsid w:val="00C9433D"/>
    <w:rsid w:val="00CA61B1"/>
    <w:rsid w:val="00CB551A"/>
    <w:rsid w:val="00CC6746"/>
    <w:rsid w:val="00CD5E0D"/>
    <w:rsid w:val="00CF0D28"/>
    <w:rsid w:val="00CF1373"/>
    <w:rsid w:val="00D052BD"/>
    <w:rsid w:val="00D276F7"/>
    <w:rsid w:val="00D31C0F"/>
    <w:rsid w:val="00D31DAB"/>
    <w:rsid w:val="00D40D9E"/>
    <w:rsid w:val="00D52AB0"/>
    <w:rsid w:val="00D551E7"/>
    <w:rsid w:val="00D9284D"/>
    <w:rsid w:val="00DF1454"/>
    <w:rsid w:val="00DF6916"/>
    <w:rsid w:val="00E2439B"/>
    <w:rsid w:val="00E435D5"/>
    <w:rsid w:val="00E50011"/>
    <w:rsid w:val="00E527F7"/>
    <w:rsid w:val="00E54E5F"/>
    <w:rsid w:val="00E85AAC"/>
    <w:rsid w:val="00ED6A14"/>
    <w:rsid w:val="00F2058E"/>
    <w:rsid w:val="00F57B46"/>
    <w:rsid w:val="00F908C5"/>
    <w:rsid w:val="00F94719"/>
    <w:rsid w:val="00F95A59"/>
    <w:rsid w:val="00FC5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799"/>
  </w:style>
  <w:style w:type="paragraph" w:styleId="Heading8">
    <w:name w:val="heading 8"/>
    <w:basedOn w:val="Normal"/>
    <w:next w:val="Normal"/>
    <w:link w:val="Heading8Char"/>
    <w:qFormat/>
    <w:rsid w:val="00F95A59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28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128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2856"/>
    <w:rPr>
      <w:rFonts w:eastAsiaTheme="minorEastAsia"/>
      <w:lang w:eastAsia="en-IE"/>
    </w:rPr>
  </w:style>
  <w:style w:type="paragraph" w:styleId="Footer">
    <w:name w:val="footer"/>
    <w:basedOn w:val="Normal"/>
    <w:link w:val="FooterChar"/>
    <w:uiPriority w:val="99"/>
    <w:unhideWhenUsed/>
    <w:rsid w:val="002128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2856"/>
    <w:rPr>
      <w:rFonts w:eastAsiaTheme="minorEastAsia"/>
      <w:lang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7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53B"/>
    <w:rPr>
      <w:rFonts w:ascii="Tahoma" w:eastAsiaTheme="minorEastAsia" w:hAnsi="Tahoma" w:cs="Tahoma"/>
      <w:sz w:val="16"/>
      <w:szCs w:val="16"/>
      <w:lang w:eastAsia="en-IE"/>
    </w:rPr>
  </w:style>
  <w:style w:type="character" w:styleId="CommentReference">
    <w:name w:val="annotation reference"/>
    <w:basedOn w:val="DefaultParagraphFont"/>
    <w:uiPriority w:val="99"/>
    <w:semiHidden/>
    <w:unhideWhenUsed/>
    <w:rsid w:val="007911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11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11E1"/>
    <w:rPr>
      <w:rFonts w:eastAsiaTheme="minorEastAsia"/>
      <w:sz w:val="20"/>
      <w:szCs w:val="20"/>
      <w:lang w:eastAsia="en-I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11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11E1"/>
    <w:rPr>
      <w:rFonts w:eastAsiaTheme="minorEastAsia"/>
      <w:b/>
      <w:bCs/>
      <w:sz w:val="20"/>
      <w:szCs w:val="20"/>
      <w:lang w:eastAsia="en-IE"/>
    </w:rPr>
  </w:style>
  <w:style w:type="paragraph" w:styleId="ListParagraph">
    <w:name w:val="List Paragraph"/>
    <w:basedOn w:val="Normal"/>
    <w:uiPriority w:val="34"/>
    <w:qFormat/>
    <w:rsid w:val="009054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4E39"/>
    <w:rPr>
      <w:color w:val="0000FF" w:themeColor="hyperlink"/>
      <w:u w:val="single"/>
    </w:rPr>
  </w:style>
  <w:style w:type="character" w:customStyle="1" w:styleId="Heading8Char">
    <w:name w:val="Heading 8 Char"/>
    <w:basedOn w:val="DefaultParagraphFont"/>
    <w:link w:val="Heading8"/>
    <w:rsid w:val="00F95A59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219F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5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healthservice.hse.ie/filelibrary/staff/guideline-on-completing-occupational-safety-and-health-risk-assessment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lenus.ie/handle/10147/574987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946C08-88F6-405D-A222-C39C66031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810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5419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O'Hanlon, Kathleen</cp:lastModifiedBy>
  <cp:revision>15</cp:revision>
  <cp:lastPrinted>2019-02-28T12:59:00Z</cp:lastPrinted>
  <dcterms:created xsi:type="dcterms:W3CDTF">2020-03-26T16:23:00Z</dcterms:created>
  <dcterms:modified xsi:type="dcterms:W3CDTF">2021-01-15T10:53:00Z</dcterms:modified>
</cp:coreProperties>
</file>